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C-3313/2007 vom 22. Februar 2008</w:t>
      </w:r>
    </w:p>
    <w:p>
      <w:r>
        <w:t>Bundesverwaltungsgericht, 2008-02-22, DE</w:t>
      </w:r>
    </w:p>
    <w:p>
      <w:r>
        <w:rPr>
          <w:b/>
        </w:rPr>
        <w:t xml:space="preserve">Quelle: </w:t>
      </w:r>
      <w:r>
        <w:t>https://mcp.opencaselaw.ch/entscheid/bvger_C-3313_2007</w:t>
      </w:r>
    </w:p>
    <w:p>
      <w:r>
        <w:t>FR: TAF C-3313/2007 du 22 février 2008</w:t>
      </w:r>
    </w:p>
    <w:p>
      <w:r>
        <w:t>IT: TAF C-3313/2007 del 22 febbraio 2008</w:t>
      </w:r>
    </w:p>
    <w:p>
      <w:pPr>
        <w:pStyle w:val="Heading2"/>
      </w:pPr>
      <w:r>
        <w:t>Regeste</w:t>
      </w:r>
    </w:p>
    <w:p>
      <w:r>
        <w:t>Fürsorge (Asyl)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BJ betreffend Fürsorgeleistungen an Auslandschweizerinnen und Auslandschweizer nach Art. 14 ASFG.</w:t>
      </w:r>
    </w:p>
    <w:p>
      <w:r>
        <w:rPr>
          <w:b/>
        </w:rPr>
        <w:t>E. 1.2</w:t>
      </w:r>
    </w:p>
    <w:p>
      <w:r>
        <w:t>Gemäss Art. 37 VGG richtet sich das Verfahren vor dem Bundesverwaltungsgericht nach dem VwVG, soweit das Gesetz nichts anderes bestimmt.</w:t>
      </w:r>
    </w:p>
    <w:p>
      <w:r>
        <w:rPr>
          <w:b/>
        </w:rPr>
        <w:t>E. 1.3</w:t>
      </w:r>
    </w:p>
    <w:p>
      <w:r>
        <w:t>Als Verfügungsadressat ist der Beschwerdeführer durch die angefochtene Verfügung besonders berührt und er hat ein schutzwürdiges Interesse an deren Aufhebung (Art. 48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Vorinstanz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w:t>
      </w:r>
    </w:p>
    <w:p>
      <w:r>
        <w:t>Die Rüge des Beschwerdeführers, die angefochtene Verfügung sei mangelhaft begründet, erweist sich im Ergebnis als gegenstandslos. Wohl hat es die Vorinstanz unterlassen, die zur Anwendung gelangenden Bestimmungen des materiellen Rechts speziell zu erwähnen. Ob darin allerdings bereits eine Verletzung des Anspruchs auf rechtliches Gehör zu erblicken ist, kann aber vorliegend offengelassen werden. Denn der gerügte Mangel hat den Beschwerdeführer ganz offensichtlich schon in seiner Beschwerde nicht daran gehindert, die Tragweite der Verfügung zu erkennen und sachgerecht dagegen zu argumentieren. Kommt hinzu, dass die Vorinstanz das Versäumte in ihrer Vernehmlassung auf ausführliche Weise nachgeholt hat und der Beschwerdeführer darauf replizieren konnte. Damit wurde den Anforderungen an die Begründungspflicht im Ergebnis Genüge getan (vgl. zum Ganzen insbes. BGE 132 V 387 E. 5.1 S. 390 mit diversen Hinweisen).</w:t>
      </w:r>
    </w:p>
    <w:p>
      <w:r>
        <w:rPr>
          <w:b/>
        </w:rPr>
        <w:t>E. 4.1</w:t>
      </w:r>
    </w:p>
    <w:p>
      <w:r>
        <w:t>Nach Art. 1 ASFG gewährt der Bund im Rahmen dieses Gesetzes Auslandschweizerinnen und Auslandschweizern, die sich in einer Notlage befinden, Fürsorgeleistungen. Im Zentrum steht dabei eine Übernahme notwendiger Lebenskosten einer bedürftigen Person mit Auslandschweizerstatus im Aufenthaltsland.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 In dringenden Fällen kann die Schweizerische Vertretung die unumgängliche Überbrückungshilfe gewähren (Art. 14 Abs. 2 ASFG).</w:t>
      </w:r>
    </w:p>
    <w:p>
      <w:r>
        <w:rPr>
          <w:b/>
        </w:rPr>
        <w:t>E. 4.2</w:t>
      </w:r>
    </w:p>
    <w:p>
      <w:r>
        <w:t>Gemäss Art. 11 Abs. 1 ASFG kann Hilfsbedürftigen die Unterstützung vor Ort verweigert und die Heimkehr in die Schweiz nahegelegt werden, wenn dies in ihrem wohlverstandenen Interesse oder demjenigen ihrer Familie liegt. Ob die Heimkehr im wohlverstandenen Interesse der Betroffenen liegt, ist nach fürsorgerischen Grundsätzen zu beurteilen, finanzielle Erwägungen sollen nicht ausschlaggebend sein (Art. 14 Abs. 1 ASFV). Von der Nahelegung einer Heimkehr ist laut Art. 14 Abs. 2 ASFV namentlich dann abzusehen, wenn Menschlichkeitsgründe dagegen sprechen, insbes. wenn enge Familienbande zerrissen oder aus einem Aufenthalt von längerer Dauer sich ergebende enge Beziehungen zum Aufenthaltsstaat zerstört würden, wenn die Hilfsbedürftigkeit bloss von kurzer Dauer oder solange der Hilfsbedürftige oder einer seiner Familienangehörigen transportunfähig ist.</w:t>
      </w:r>
    </w:p>
    <w:p>
      <w:r>
        <w:rPr>
          <w:b/>
        </w:rPr>
        <w:t>E. 4.3</w:t>
      </w:r>
    </w:p>
    <w:p>
      <w:r>
        <w:t>Unter Berufung auf den historischen Gesetzgeber (Botschaft des Bundesrates vom 6. September 1972 zum Entwurf eines Bundesgesetzes über Fürsorgeleistungen an Auslandschweizer, BBl 1972 ll 548 ff.) geht das Bundesgericht in ständiger Rechtsprechung davon aus, dass eine auf gewisse Dauer angelegte Unterstützung vor Ort nur für solche Auslandschweizer in Frage kommen soll, die sich im Ausland eine Existenz aufgebaut haben, dort weitgehend integriert und nachträglich in eine finanzielle Notlage geraten sind. Zudem muss eine gewisse Zukunftsperspektive bezüglich der selbständigen Finanzierbarkeit des Lebensunterhalts erkennbar sein. Dagegen sollen in der Regel keine Leistungen beansprucht werden können, wenn es darum geht, sich eine Existenz im Ausland erst aufzubauen (vgl. insbes. Urteil des Bundesgerichts 2A.654/2005 vom 9. Dezember 2005 E. 2.1 mit diversen Hinweisen). In gleicher Weise erachtet es das Bundesgericht als mit der Natur des Gesetzes (als einem eigentlichen Fürsorgeerlass) nicht vereinbar, jemandem, dessen Existenz bei einem Aufenthalt in der Schweiz (durch eine andere Art der Bereitstellung von Mitteln) gesichert erscheint, Fürsorgeunterstützungen zukommen zu lassen, wenn er gerade und allein wegen seiner Ausreise - auf unabsehbare Zeit - unterstützungsbedürftig wird (Urteil des Bundesgerichts 2A.555/2001 vom 19. Dezember 2001 E. 1.b).</w:t>
      </w:r>
    </w:p>
    <w:p>
      <w:r>
        <w:rPr>
          <w:b/>
        </w:rPr>
        <w:t>E. 5</w:t>
      </w:r>
    </w:p>
    <w:p>
      <w:r>
        <w:t>Dass der Gesuchsteller bedürftig ist, wird von der Vorinstanz nicht in Frage gestellt. Strittig ist einzig und allein die Frage, ob der Beschwerdeführer vor Ort zu unterstützen oder aber in dessen wohlverstandenem eigenen Interesse einzuladen ist, in die Schweiz zurückzukehren.</w:t>
      </w:r>
    </w:p>
    <w:p>
      <w:r>
        <w:rPr>
          <w:b/>
        </w:rPr>
        <w:t>E. 5.1</w:t>
      </w:r>
    </w:p>
    <w:p>
      <w:r>
        <w:t>Die Vorinstanz stellt sich bei ihrer Ablehnung des Unterstützungsgesuches in erster Linie auf den Standpunkt, dass es dem Beschwerdeführer bisher nicht gelungen sei, in Thailand eine dauerhafte und tragfähige wirtschaftliche Existenz zu schaffen. Dem Beschwerdeführer sei eine Heimkehr nahezulegen, zumal keine Hinderungsgründe im Sinne von Art. 14 Abs. 2 ASFV anzunehmen seien. Der Beschwerdeführer hält dem entgegen, dass er mit dem Backwarenbetrieb sehr wohl eine wirtschaftliche Existenz habe. Dieser Betrieb sei nur vorübergehend eingestellt und werde wieder aufgenommen. Seine beruflichen Perspektiven in Thailand seien intakt. Im Weitern macht er Verhältnisse geltend, unter denen eben gerade davon abgesehen werden müsse, ihm eine Heimreise nahezulegen. So lebe er unterdessen bereits seit mehr als elf Jahren in Thailand und habe enge Beziehung zum Aufenthaltsland. Er sei mit einer Thailänderin verheiratet, könne sich in der Landessprache verständigen und habe seinen Kollegen- und Bekanntenkreis im Aufenthaltsland. Zudem fühle er sich zum Buddhismus hingezogen.</w:t>
      </w:r>
    </w:p>
    <w:p>
      <w:r>
        <w:rPr>
          <w:b/>
        </w:rPr>
        <w:t>E. 5.2</w:t>
      </w:r>
    </w:p>
    <w:p>
      <w:r>
        <w:t>Bei der Prüfung, ob es einem Gesuchsteller gelungen ist, im Aufenthaltsstaat wirtschaftlich Fuss zu fassen und eine eigene Existenz aufzubauen, sind selbstredend nicht nur die Verhältnisse im Zeitpunkt der Gesuchstellung, sondern ist die ganze Zeit zu erfassen, die der Betroffene bisher in seiner Wahlheimat verbracht hat.</w:t>
      </w:r>
    </w:p>
    <w:p>
      <w:r>
        <w:rPr>
          <w:b/>
        </w:rPr>
        <w:t>E. 5.2.1</w:t>
      </w:r>
    </w:p>
    <w:p>
      <w:r>
        <w:t>Der Beschwerdeführer ist erstmals im Sommer 1994 nach Thailand ausgewandert. Im Januar 1999 richtete er sich mit einem Unterstützungsgesuch an die Schweizerischen Behörden, in dem er nicht nur um Beteiligung an seinen Lebenshaltungskosten, sondern auch um eine eigentliche Wirtschaftshilfe beim Aufbau einer Froschzucht ersuchte. Er legte dar, dass er schon mehrere erfolglose Versuche hinter sich habe, vor Ort wirtschaftlich Fuss zu fassen. So habe er es mit einer Pilzfarm und mit Schweine- bzw. Hühnerhaltung versucht. Über ein Einkommen verfüge er seit über drei Jahren nicht mehr und sein Vermögen sei restlos aufgebraucht. Freunde hätten ihm bereits Hilfestellung gewährt. Diese Hilfe reiche aber nicht aus, um die im Aufbau befindliche Zucht rentabel führen zu können. In seinem Wiedererwägungsgesuch vom 13. September 1999 ergänzte der Beschwerdeführer unter anderem, er lebe nun schon seit gut vier Jahren in einer Beziehung mit einer Thailänderin, könne sie aber nicht heiraten, weil er nicht über ein festes Einkommen verfüge. Seine Partnerin und deren Familie kämen zum grössten Teil für ihn auf; sie böten ihm Nahrung und Unterkunft. Entgegen der Darstellung in der Beschwerde vom 26. April 2007 hatte die solchermassen geltend gemachte wirtschaftliche Notlage ihre Ursache eindeutig nicht in dem im Frühsommer 1999 gegen den Beschwerdeführer angestrengten Strafverfahren und wurde von ihm selbst damals auch nicht so begründet. Erst in einem Schreiben vom 29. September 1999 lieferte der Beschwerdeführer Aufschlüsse zu diesem Prozess und verwies auf die sich daraus ergebenden zusätzlichen wirtschaftlichen Schwierigkeiten. Am 23. November 1999 unterrichtete das Bundesamt die Schweizerische Vertretung über seine Bereitschaft, dem Beschwerdeführer eine sechsmonatige Überbrückungshilfe zu gewähren; dies im Sinne einer letztmaligen Chance, sich wirtschaftlich auf eigene Beine zu stellen. Das inzwischen eingeleitete Strafverfahren und dessen Begleitumstände (insbes. das Verbot, das Aufenthaltsland zu verlassen) führten dann dazu, dass diese Hilfe mehrfach verlängert wurde. Nach Abschluss des Strafverfahrens kehrte der Beschwerdeführer im März 2001 in die Schweiz zurück. Vor dem aufgezeigten Hintergrund kann nicht ernsthaft in Frage gestellt werden, dass es dem Beschwerdeführer in den knapp sieben Jahren seines ersten Aufenthaltes in Thailand dort nicht gelungen ist, eine wirtschaftliche Existenz aufzubauen. Dass ein Strafverfahren gegen ihn geführt wurde, mag seine Bemühungen um Schaffung einer eigenen Existenz während gewisser Zeit noch zusätzlich erschwert haben, war aber offensichtlich nicht Hauptursache für sein Scheitern an sich.</w:t>
      </w:r>
    </w:p>
    <w:p>
      <w:r>
        <w:rPr>
          <w:b/>
        </w:rPr>
        <w:t>E. 5.2.2</w:t>
      </w:r>
    </w:p>
    <w:p>
      <w:r>
        <w:t>Ähnliches gilt in Bezug auf den zweiten Aufenthalt in Thailand. Im Sommer 2004 wanderte der Beschwerdeführer erneut aus. Mit einer aus seiner früheren Unterstützung noch bestehenden Restschuld konfrontiert, liess er in einem Schreiben vom 18. Juli 2005 (also ein Jahr später) verlauten, er verfüge zurzeit über keinerlei Einkünfte und lebe vom Einkommen seiner Ehefrau, welches diese mit dem Verkauf von Lebensmitteln auf dem örtlichen Markt erziele. Man plane, den Verkaufsstand zu vergrössern. Wiederum fast anderthalb Jahre später erneut auf seine wirtschaftlichen Verhältnisse angesprochen, teilte der Beschwerdeführer in einem Schreiben vom 27. November 2006 mit, dass er die Restschuld nach wie vor nicht begleichen könne, und stellte gleichzeitig ein neues Unterstützungsgesuch. Sie hätten einen mit den restlichen Mitteln realisierten, im Februar 2006 eröffneten Betrieb für Backwaren soeben wegen ernsthafter gesundheitlicher Probleme seiner Ehefrau wieder schliessen müssen. Seine Frau sei den Belastungen körperlich nicht mehr gewachsen gewesen und eine Weiterführung des Betriebs sei zurzeit undenkbar. Er könne nicht sagen, wie lange es dauern werde, bis sich seine Frau erholt habe und es sei zweifelhaft, ob sie den Betrieb überhaupt wieder aufnehmen könnten. In einem Schreiben vom 23. März 2007 wies der Beschwerdeführer darauf hin, dass sich der Gesundheitszustand seiner Ehefrau weiter verschlechtert habe und eine Wiederaufnahme des Betriebes deshalb nicht möglich sei. Er befinde sich in einer prekären finanziellen Situation. In seiner Beschwerde vom 26. April 2007 hielt der Beschwerdeführer dann fest, man werde den Betrieb wieder aufnehmen, sobald es die gesundheitliche Situation seiner Ehefrau zulasse. In der Replik vom 3. Oktober 2007 schliesslich kündigte der Beschwerdeführer an, man werde den Betrieb für Backwaren voraussichtlich in einem halben Jahr wieder aufnehmen, allerdings in einer andern Form und an einem andern Ort. Zwar soll der Betrieb für Backwaren im Verlaufe des Jahres 2007 rentiert und sogar kleinere Rückstellungen erlaubt haben. Tatsache ist aber auch, dass er aus Gründen eingestellt werden musste, die der Beschwerdeführer nicht beeinflussen kann, und die eine Planung darüber, ob überhaupt und falls ja, wann mit einer Wiedereröffnung zu rechnen ist, kaum zulassen. Es versteht sich von selbst und bedarf keiner weiteren Erläuterungen, dass in der vorliegenden Situation nicht einfach auf die Pläne bzw. Hoffnungen des Beschwerdeführers betreffend einer Wiedereröffnung abgestellt und davon ausgegangen werden kann, die wirtschaftliche Existenz bestehe und sei mittel- oder sogar langfristig gesichert. Entsprechend kann auch nicht angenommen werden, die Hilfsbedürftigkeit werde nur von kurzer Dauer sein.</w:t>
      </w:r>
    </w:p>
    <w:p>
      <w:r>
        <w:rPr>
          <w:b/>
        </w:rPr>
        <w:t>E. 5.2.3</w:t>
      </w:r>
    </w:p>
    <w:p>
      <w:r>
        <w:t>Der heute 56-jährige Beschwerdeführer hat den grössten Teil seines bisherigen Lebens in der Schweiz verbracht, wo er verheiratet war und seine zwei erwachsenen Kinder leben. Im Zeitpunkt seiner ersten Auswanderung war er 43 Jahre alt. Knapp sieben Jahre später kehrte er in die Schweiz zurück. Hier gelang es ihm offenbar problemlos, sich wieder zu reintegrieren. Zwar heiratete er seine thailändische Partnerin, liess sie aber offenbar nicht in die Schweiz nachziehen. Vielmehr entschloss er sich schon bald, wieder nach Thailand auszuwandern. Dort lebt er nun erneut seit gut dreieinhalb Jahren. Insgesamt lebte der Beschwerdeführer damit zwar bisher seit über zehn Jahren in seiner Wahlheimat. Allerdings kann - zieht man den mehr als dreijährigen Unterbruch mit in Betracht - aufgrund dieser Gesamtdauer allein noch nicht gesagt werden, es habe eine besonders enge Verwurzelung stattgefunden. Der Beschwerdeführer äusserte sich dazu nicht besonders ausführlich und aufgrund der Akten ist davon auszugehen, dass sich die Integration im Rahmen des Üblichen bewegen dürfte. Der Vorinstanz ist jedenfalls darin zu folgen, wenn sie festhält, es sei nicht von derart engen Beziehungen zum Aufenthaltsstaat auszugehen, dass dem Beschwerdeführer eine Rückkehr nicht nahegelegt werden dürfte.</w:t>
      </w:r>
    </w:p>
    <w:p>
      <w:r>
        <w:rPr>
          <w:b/>
        </w:rPr>
        <w:t>E. 5.2.4</w:t>
      </w:r>
    </w:p>
    <w:p>
      <w:r>
        <w:t>Der Beschwerdeführer hat voraussichtlich noch rund zehn Jahre seines Berufslebens vor sich und er hat bereits bei seiner Heimkehr im Jahre 2001 seine Reintegrationsfähigkeit in den Schweizer Arbeitsmarkt unter Beweis gestellt. Es dürfte ihm nicht allzu schwer fallen, sich im hiesigen Arbeitsmarkt - gegebenenfalls mit spezifischer Hilfe bestehender Facheinrichtungen - erneut zu reintegrieren. Seine Existenz wäre hierzulande mithin eher gesichert. Sowohl hinsichtlich der wirtschaftlichen Perspektiven als auch mit Blick auf die Langzeitbedürfnisse und fürsorgerische Gesichtspunkte muss eine Rückkehr in die Schweiz deshalb heute als wünschbar bezeichnet werden.</w:t>
      </w:r>
    </w:p>
    <w:p>
      <w:r>
        <w:rPr>
          <w:b/>
        </w:rPr>
        <w:t>E. 5.3.1</w:t>
      </w:r>
    </w:p>
    <w:p>
      <w:r>
        <w:t>Gegen einen Abbruch des Aufenthalts in Thailand sprechende sog. Menschlichkeitsgründe im Sinne von Art. 14 Abs. 2 ASFV sind entgegen den Vorbringen des Beschwerdeführers nicht anzunehmen. Eine Heimkehr würde insbes. nicht zwingend Familienbande zerreissen. Die Ehefrau des Beschwerdeführers hätte, möchte sie ihm folgen, einen Anspruch auf Regelung ihres Aufenthaltes in der Schweiz (vgl. Art. 42 Abs. 1 des Bundesgesetzes vom 16. Dezember 2005 über die Ausländerinnen und Ausländer [AuG, SR 142.20] bzw. Art. 8 Ziff. 1 der Konvention vom 4. November 1950 zum Schutze der Menschenrechte und Grundfreiheiten [EMRK, SR 0.101] und Art. 13 Abs. 1 der Bundesverfassung der Schweizerischen Eidgenossenschaft vom 18. April 1999 [BV, SR 101]). Im Gegensatz zur Regelung im ASFG, wonach nur Schweizer Staatsangehörige im Ausland unterstützt werden, wäre sie - als thailändische Staatsangehörige - in der Schweiz denn auch nicht von der Fürsorge ausgeschlossen. Dass Familienbande zerrissen würden, weil der Ehefrau die Reise in die Schweiz - im Gegensatz zum Beschwerdeführer - von den Schweizerischen Behörden gestützt auf das ASFG nicht finanziert werden kann, davon kann nicht ernsthaft ausgegangen werden. Sollte der Wille zur gemeinsamen Wohnsitznahme in der Schweiz tatsächlich bestehen, so liessen sich sicherlich Wege für eine Finanzierung dieser Reise finden, sei es über die Verwandtschaft der Ehefrau, sei es über eine - vergleichsweise bescheidene - Hilfe aus dem Umkreis des Beschwerdeführers.</w:t>
      </w:r>
    </w:p>
    <w:p>
      <w:r>
        <w:rPr>
          <w:b/>
        </w:rPr>
        <w:t>E. 5.3.2</w:t>
      </w:r>
    </w:p>
    <w:p>
      <w:r>
        <w:t>Nicht ausser Acht zu lassen gilt es schliesslich präjudizielle Überlegungen und Gründe der Rechtsgleichheit, steht es doch nicht im Belieben und der freien Disposition einer Empfängerin oder eines Empfängers von Sozialhilfeleistungen, sich in einem Land eigener Wahl von der Schweiz aus unterstützen zu lassen (Urteil des Bundesgerichts 2A.555/2001 vom 19. Dezember 2001 E. 1b); dies gilt erst recht, wenn eine Person voraussichtlich auf lange Sicht unterstützungsbedürftig bleiben wird.</w:t>
      </w:r>
    </w:p>
    <w:p>
      <w:r>
        <w:rPr>
          <w:b/>
        </w:rPr>
        <w:t>E. 5.4</w:t>
      </w:r>
    </w:p>
    <w:p>
      <w:r>
        <w:t>Im Übrigen verfügen - soweit bekannt - weder der Beschwerdeführer noch seine Ehefrau in Thailand über eine Krankenversicherung. Wie sich die gesundheitliche Situation insbes. der erkrankten Ehefrau entwickeln wird, ist ungewiss. Demgegenüber wären sowohl der Beschwerdeführer selbst als auch seine Ehefrau bei einer Rückkehr in die Schweiz obligatorisch gegen Krankheit versichert (vgl. Art. 3 Abs. 1 und Art. 65 Abs. 1 des Bundesgesetzes vom 18. März 1994 über die Krankenversicherung [KVG, SR 832.10]), gesundheitliche Schwierigkeiten würden sich hier nicht direkt auf die finanzielle Situation auswirken, was gemäss bundesgerichtlicher Rechtsprechung ebenfalls für eine Rückkehr spricht (vgl. Urteil des Bundesgerichts 2A.43/2007 vom 5. April 2007 E. 4.2).</w:t>
      </w:r>
    </w:p>
    <w:p>
      <w:r>
        <w:rPr>
          <w:b/>
        </w:rPr>
        <w:t>E. 5.5</w:t>
      </w:r>
    </w:p>
    <w:p>
      <w:r>
        <w:t>Aufgrund der vorstehenden Erwägungen durfte die Vorinstanz zu Recht annehmen, die Heimkehr des Beschwerdeführers liege in dessen wohlverstandenem Interesse.</w:t>
      </w:r>
    </w:p>
    <w:p>
      <w:r>
        <w:rPr>
          <w:b/>
        </w:rPr>
        <w:t>E. 6</w:t>
      </w:r>
    </w:p>
    <w:p>
      <w:r>
        <w:t>Zusammenfassend ergibt sich, dass die Vorinstanz dem Beschwerdeführer die Ausrichtung von Fürsorgeleistungen nach dem ASFG zu Recht verweigert hat.</w:t>
      </w:r>
    </w:p>
    <w:p>
      <w:r>
        <w:rPr>
          <w:b/>
        </w:rPr>
        <w:t>E. 7</w:t>
      </w:r>
    </w:p>
    <w:p>
      <w:r>
        <w:t>Demnach gelangt das Bundesverwaltungsgericht zum Schluss, dass die angefochtene Verfügung Bundesrecht nicht verletzt. Der rechtserhebliche Sachverhalt wurde richtig und vollständig festgestellt und die Vorinstanz hat ihr Ermessen pflichtgemäss ausgeübt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