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C-3300/2008 vom 2. September 2009</w:t>
      </w:r>
    </w:p>
    <w:p>
      <w:r>
        <w:t>Bundesverwaltungsgericht, 2009-09-02, FR</w:t>
      </w:r>
    </w:p>
    <w:p>
      <w:r>
        <w:rPr>
          <w:b/>
        </w:rPr>
        <w:t xml:space="preserve">Quelle: </w:t>
      </w:r>
      <w:r>
        <w:t>https://mcp.opencaselaw.ch/entscheid/bvger_C-3300_2008</w:t>
      </w:r>
    </w:p>
    <w:p>
      <w:r>
        <w:t>FR: TAF C-3300/2008 du 2 septembre 2009</w:t>
      </w:r>
    </w:p>
    <w:p>
      <w:r>
        <w:t>IT: TAF C-3300/2008 del 2 settembre 2009</w:t>
      </w:r>
    </w:p>
    <w:p>
      <w:pPr>
        <w:pStyle w:val="Heading2"/>
      </w:pPr>
      <w:r>
        <w:t>Regeste</w:t>
      </w:r>
    </w:p>
    <w:p>
      <w:r>
        <w:t>Evaluation de l'invalidité</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l'avance de frais versée dans le délai imparti,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Le recourant a présenté sa demande de rente le 17 novembre 2006.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17 novembre 2005 (12 mois avant le dépôt de la demande) ou si le droit à une rente était né entre cette date et le 23 avril 2008, date de la décision attaquée marquant la limite dans le temps du pouvoir d'examen de l'autorité de recours (ATF 130 V 445 consid. 1.2 et 1.2.1).</w:t>
      </w:r>
    </w:p>
    <w:p>
      <w:r>
        <w:rPr>
          <w:b/>
        </w:rPr>
        <w:t>E. 6.1</w:t>
      </w:r>
    </w:p>
    <w:p>
      <w:r>
        <w:t>Tout requérant doit remplir cumulativement les conditions suivantes pour avoir droit à une rente de l'assurance-invalidité suisse: être invalide au sens de la LPGA/LAI et avoir versé des cotisations à l'AVS/AI durant au moins une année, respectivement trois années entière à compter du 1er janvier 2008 (art. 36 al. 1 LAI).</w:t>
      </w:r>
    </w:p>
    <w:p>
      <w:r>
        <w:rPr>
          <w:b/>
        </w:rPr>
        <w:t>E. 6.2</w:t>
      </w:r>
    </w:p>
    <w:p>
      <w:r>
        <w:t>En l'occurrence, le recourant a versé des cotisations à l'AVS/AI pendant 14 années au total (cf. pce 3) et remplit, partant, la condition de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Le recourant a travaillé en Suisse dans le domaine de la construction, voire du nettoyage, de 1974 à 1988. Il est ensuite retourné dans son pays d'origine et y a exercé, du 1er octobre 1997 au 30 janvier 1998, l'activité de maçon, voire, du 29 janvier 1998 au 27 novembre 2000, celle d'agriculteur. Il a alors cessé de travailler pour des raisons de santé.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souffre essentiellement d'une gonarthrose modérée de la rotule gauche en relation avec une méniscectomie partielle interne. En outre, un status après une operation d'un hallux valgus, une hyperucémie, un rhumatisme polyarticulaire surtout dans la colonne, une hypertension artérielle, un alcoolisme chronique, une obésité modérée et une dépression réactive ont été diagnostiqués.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al. 2 du règlement sur l'assurance-invalidité du 17 janvier 1961 (RAI, RS 831.201)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AI peuvent convoquer les assurés à un entretien, la date de celui-ci devant leur être communiquée dans un délai approprié (art. 69 al. 3 RAI dans sa nouvelle teneur en vigueur à compter du 1er janvier 2008).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11.1</w:t>
      </w:r>
    </w:p>
    <w:p>
      <w:r>
        <w:t>En l'espèce, l'OAIE s'est essentiellement fondé sur le rapport E 213 du 3 septembre 2007 et la prise de position de son service médical du 25 février 2008. L'Office a ainsi considéré que les atteintes diagnostiquées n'empêchent pas le recourant d'exercer à temps complet une profession de substitution adaptée et a dès lors conclu au rejet du recours et à la confirmation de la décision entreprise. Le recourant a avancé qu'à cause de son état de santé il ne peut exercer aucune des activités préconisées par l'administration, qu'hormis la gonarthrose nombre d'affections n'ont pas été considérées par le service médical de l'OAIE, que l'Office n'a pas confronté les avis médicaux divergents et qu'il n'a pas expliqué pourquoi il s'écartait de l'avis du Dr D._______. Il a ainsi expressément conclu à l'annulation de la décision entreprise et à l'octroi d'une rente d'invalidité, et, subsidiairement, au renvoi de la cause à l'administration pour instruction complémentaire et nouvelle décision.</w:t>
      </w:r>
    </w:p>
    <w:p>
      <w:r>
        <w:rPr>
          <w:b/>
        </w:rPr>
        <w:t>E. 11.2</w:t>
      </w:r>
    </w:p>
    <w:p>
      <w:r>
        <w:t>A titre liminaire, il sied de rappeler que le degré d'invalidité d'un assuré qui prétend une rente de l'assurance-invalidité suisse est déterminé exclusivement d'après le droit suisse (cf. supra 3). La décision de la sécurité sociale espagnole ne lie donc pas les autorités suisses. En l'espèce, le rapport E 213 du 3 septembre 2007 de l'INSS, le certificat du 3 avril 2000 du Dr B._______ et l'attestation du 16 juillet 2007 du Dr C._______ sont concordants: Les médecins sollicités ne retiennent tous trois qu'une gonarthrose modérée de la rotule gauche en relation avec une méniscectomie partielle interne. Seul le Dr D._______, dans son rapport médical du 21 novembre 2007, diagnostique en outre un rhumatisme polyarticulaire surtout dans la colonne, un status après une opération d'un hallux valgus, une hyperucémie, une hypertension artérielle, un alcoolisme chronique, une obésité modérée et une dépression réactive. Ainsi, le médecin de l'INSS a conclu à une pleine capacité de travail de l'assuré dans une activité de substitution adaptée et le Dr D._______ à une totale incapacité dans toute profession. L'autorité de céans considère que la gonarthrose n'a pas vocation à restreindre la capacité de travail d'un assuré dans une activité de substitution légère et adaptée, à l'exemple de celles préconisées par le service médical de l'OAIE, a fortiori lorsque, comme en l'espèce, elle ne nécessite aucun traitement ni suivi et n'entraîne pas de répercussions fonctionnelles significatives (cf. pce 8). Il en va d'ailleurs de même des autres affections strictement physiques qui ont été retenues, tels que le hallux valgus, l'obésité modérée ou le rhumatisme polyarticulaire. De plus, l'hyperucémie et l'hypertension artérielle peuvent être traitées pharmacologiquement. S'agissant de l'alcoolisme, il convient de préciser que cette pathologie ne constitue pas en soi une invalidité au sens de la LAI; elle ne joue en effet un rôle dans l'assurance-invalidité que lorsqu'elle a provoqué une maladie ou un accident qui entraîne une atteinte à la santé physique ou mentale, nuisant à la capacité de gain, ou si elle résulte elle-même d'une atteinte à la santé physique ou mentale qui a valeur de maladie (ATF 124 V 265 consid. 3c avec les réf.). Or, pour ce qui est de la dépression réactionnelle, retenue par le seul Dr D._______, aucun indice ne permet de lui reconnaître une gravité telle qui pourrait justifier une incapacité de travail. Du reste, l'intéressé n'indique pas suivre de traitement pour soigner cette maladie. Le Tribunal de céans relève, au surplus, que le rapport E 213 de l'INSS, le certificat du Dr B._______ et l'attestation du Dr C._______ reposent sur des études complètes et circonstanciées de la situation médicale du recourant, ne contiennent pas d'incohérences et aboutissent à des conclusions claires et motivées. En réplique, le recourant a relevé que l'expertise E 213 serait contradictoire parce que, d'une part, elle indique que l'intéressé pourrait travailler à plein temps comme agriculteur, et, d'autre part, elle reconnaît une incapacité de travail dans la dernière activité exercée (points 11.4 et 11.7 de l'expertise). Cette incohérence est toutefois sans importance, compte tenu du fait que l'expertise E 213 conclut de toute façon à une capacité entière dans une activité de substitution et que le Tribunal de céans se base sur cette appréciation pour juger la présente cause. Le Dr D._______, pour sa part, s'est borné à énumérer les affections dont souffre son patient, sans en exposer les substrats objectifs et motiver plus avant ses conclusions. Il n'y a, partant, aucune raison de ne pas accorder foi aux constatations et conclusions de l'INSS notamment ou de donner préférence à l'avis médical, par trop succinct, du médecin traitant du recourant. Le juge doit au demeurant tenir compte du fait que le médecin traitant est généralement enclin, en cas de doute, à prendre parti pour son patient en raison de la relation de confiance qui l'unit à ce dernier (ATF 125 V 353 consid. 3b/cc et réf. cit.; Ulrich Meyer-Blaser, Bundesgesetz über Invalidenversicherung, in: Rechtssprechung des Bundesgerichts zum Sozialversicherungsrecht, Zurich 1997, p. 230). Il convient donc, dans cet esprit, de reconnaître une valeur probante supérieure à une expertise diligentée par un assureur-invalidité et mise en oeuvre par un organisme public qu'à un examen médical privé (ATF 125 V 151).</w:t>
      </w:r>
    </w:p>
    <w:p>
      <w:r>
        <w:rPr>
          <w:b/>
        </w:rPr>
        <w:t>E. 11.3</w:t>
      </w:r>
    </w:p>
    <w:p>
      <w:r>
        <w:t>Eu égard à ce qui précède, force est pour l'autorité de céans de se rallier à l'avis de l'OAIE (pce 20) et de considérer que le recourant conserve une capacité de travail entière dans une activité lucrative de substitution adaptée, telle qu'une activité de concierge/gardien d'immeuble, surveillant de parking/musée, petites livraisons avec véhicule, vente par correspondance, caissier, vendeur de billets, enregistrement, classement, archivage, accueil/réceptionniste, standardiste/téléphoniste ou saisie de données/scannage. Les activités de maçon ou d'agriculteur ne sont en revanche plus exigibles.</w:t>
      </w:r>
    </w:p>
    <w:p>
      <w:r>
        <w:rPr>
          <w:b/>
        </w:rPr>
        <w:t>E. 12</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w:t>
      </w:r>
    </w:p>
    <w:p>
      <w:r>
        <w:rPr>
          <w:b/>
        </w:rPr>
        <w:t>E. 12.1</w:t>
      </w:r>
    </w:p>
    <w:p>
      <w:r>
        <w:t>Le recourant a travaillé pour l'essentiel dans le domaine de la construction. Selon certains documents figurant au dossier, il aurait également oeuvré dans les domaines du nettoyage et de l'agriculture. Eu égard à ces incertitudes, le Tribunal de céans retient, à l'instar de l'autorité inférieure, que le revenu sans invalidité du recourant peut se déterminer en référence à son activité, prépondérante, dans le domaine de la construction. L'autorité s'est fiée aux données statistiques suisses et non à celles espagnoles (disponibles, contrairement à ce qu'avance l'autorité intimée, sur le site Internet de l'institut national espagnol de la statistique www.ine.es), lesquelles ne présentent pas - faute d'en connaître la méthodologie - la même fiabilité et représentativité que celles disponibles en Suisse (cf. arrêt du Tribunal fédéral I 232/06 du 25 octobre 2006 consid. 4 et arrêt du Tribunal administatif fédéral C-3053/2006 du 4 septembre 2008 consid. 10.2.2). Ce procédé est correct. En effet,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Ainsi, selon le Tableau TA1 relatif aux salaires bruts standardisés, de l'Enquête suisse sur la structure des salaires 2006 de l'Office fédéral de la statistique, le salaire mensuel moyen d'un salarié avec des connaissances professionnelles spécialisées dans la construction était en Suisse, en 2006, de Fr. 5'422.-. Après adaptation au nombre d'heures de travail effectuées en 2006 en moyenne dans la construction, à savoir 41.7 heures (par rapport aux 40 heures de base, La Vie économique 9-2006, B9.2), on obtient un revenu sans invalidité de Fr. 5'652.44.</w:t>
      </w:r>
    </w:p>
    <w:p>
      <w:r>
        <w:rPr>
          <w:b/>
        </w:rPr>
        <w:t>E. 12.2</w:t>
      </w:r>
    </w:p>
    <w:p>
      <w:r>
        <w:t>Les activités de substitution proposées par le service médical de l'OAIE (cf. pce 20) exigibles à plein temps à compter du 29 janvier 1998 sont des activités légères comparables à des activités simples et répétitives en 2006 dans des services collectifs et personnels (dont le revenu mensuel moyen en Suisse est de Fr. 4'259.-), le commerce de gros (Fr. 4'792.-) le commerce de détail (Fr. 4'383.-) ou des services fournis aux entreprises (Fr. 4'563.-), soit en moyenne Fr. 4'499.25. Ce montant doit ensuite être adapté à l'horaire usuel dans le secteur tertiaire en 2006 de 41.7 heures (par rapport aux 40 heures de base, La Vie économique 9-2006, B9.2). On obtient ainsi un revenu mensuel de Fr. 4'690.47. Compte tenu de l'âge de l'assuré au jour de la décision querellée (51 ans) et de son handicap, on peut appliquer, tout comme l'a fait l'autorité inférieure, un taux de réduction du salaire d'invalide de 5%, attendu que le maximum admis par la jurisprudence est de 25% (ATF 126 V 75). Son revenu annuel d'invalide est dès lors de Fr. 4'455.95.</w:t>
      </w:r>
    </w:p>
    <w:p>
      <w:r>
        <w:rPr>
          <w:b/>
        </w:rPr>
        <w:t>E. 12.3</w:t>
      </w:r>
    </w:p>
    <w:p>
      <w:r>
        <w:t>La comparaison du revenu sans invalidité de Fr. 5'652.44 au revenu d'invalide de Fr. 4'455.95 fait apparaître un préjudice économique de 21.16%. Le taux d'invalidité du recourant n'atteint donc pas les 40% nécessaires pour obtenir le droit à une rente.</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 Partant, le recours du 19 mai 2008 doit être rejeté et la décision du 23 avril 2008 de l'autorité inférieure confirmée.</w:t>
      </w:r>
    </w:p>
    <w:p>
      <w:r>
        <w:rPr>
          <w:b/>
        </w:rPr>
        <w:t>E. 14</w:t>
      </w:r>
    </w:p>
    <w:p>
      <w:r>
        <w:t>Les frais de procédure, fixés à Fr. 300.-, sont mis à la charge du recourant (art. 63 al. 1 PA, applicable par le truchement de l'art. 37 LTAF). Ils sont compensés par l'avance de frais de Fr. 449.-dont il s'est acquitté au cours de l'instruction. Le solde, savoir Fr. 149.-, lui est restitué.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