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C-32/2010 vom 7. Dezember 2010</w:t>
      </w:r>
    </w:p>
    <w:p>
      <w:r>
        <w:t>Bundesverwaltungsgericht, 2010-12-07, FR</w:t>
      </w:r>
    </w:p>
    <w:p>
      <w:r>
        <w:rPr>
          <w:b/>
        </w:rPr>
        <w:t xml:space="preserve">Quelle: </w:t>
      </w:r>
      <w:r>
        <w:t>https://mcp.opencaselaw.ch/entscheid/bvger_C-32_2010</w:t>
      </w:r>
    </w:p>
    <w:p>
      <w:r>
        <w:t>FR: TAF C-32/2010 du 7 décembre 2010</w:t>
      </w:r>
    </w:p>
    <w:p>
      <w:r>
        <w:t>IT: TAF C-32/2010 del 7 dicembre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Le recourant a présenté sa demande de rente le 17 décembre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17 décembre 2006 (12 mois avant le dépôt de la demande) ou si le droit à une rente était né entre cette date et le 19 novembre 2009, date de la décision attaquée marquant la limite dans le temps du pouvoir d'examen de l'autorité de recours (ATF 130 V 445 consid. 1.2 et 1.2.1).</w:t>
      </w:r>
    </w:p>
    <w:p>
      <w:r>
        <w:rPr>
          <w:b/>
        </w:rPr>
        <w:t>E. 5</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À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de toute façon, pendant plus de trois années au total (pce 6)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en qualité de maçon et de charpentier. De retour dans son pays, il a exercé l'activité d'ouvrier blanchisseur, 8 heures par jour, 40 heures par semaine pour un salaire mensuel de EUR 664.94. Il a travaillé jusqu'au 27 septembre 2005, date à laquelle il a cessé toute activité (pces 10 et 11). Jusqu'à cette date, le Tribunal peut donc conclure que le recourant n'a subi aucune invalidité au sens de la législation suisse.</w:t>
      </w:r>
    </w:p>
    <w:p>
      <w:r>
        <w:rPr>
          <w:b/>
        </w:rPr>
        <w:t>E. 7.2</w:t>
      </w:r>
    </w:p>
    <w:p>
      <w:r>
        <w:t>Pour la période successive, en 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que le recourant souffre de pathologies physiques et psychiques notamment de lombalgies chroniques à l'effort sur protrusion discale L5-S1 et de dysthymie.</w:t>
      </w:r>
    </w:p>
    <w:p>
      <w:r>
        <w:rPr>
          <w:b/>
        </w:rPr>
        <w:t>E. 9.2</w:t>
      </w:r>
    </w:p>
    <w:p>
      <w:r>
        <w:t>En ce qui concerne les conséquences des affections diagnostiquées sur le capacité de travail, le médecin de l'ISS a relevé, dans le rapport E 213 du 15 décembre 2008, que le recourant ne pouvait plus exercer sa dernière activité d'ouvrier textile et a mis en évidence le fait qu'il présentait un taux d'invalidité de 66,6 pour cent pour toute autre activité adaptée à ses aptitudes depuis le 17 décembre 2007.</w:t>
      </w:r>
    </w:p>
    <w:p>
      <w:r>
        <w:rPr>
          <w:b/>
        </w:rPr>
        <w:t>E. 9.3</w:t>
      </w:r>
    </w:p>
    <w:p>
      <w:r>
        <w:t>De son côté, le médecin du Service médical de l'OAIE a considéré, dans sa prise de position du 5 septembre 2009, que les lombalgies chroniques à l'effort sur protrusion discale L5-S1 n'influençaient pas la capacité de travail de l'assuré, l'absence d'indication chirurgicale étant un signe que l'atteinte objective n'était pas significative. Successivement, le médecin de l'OAIE a donné son avis quant aux nouveaux documents médicaux précisant que la dépression réactionnelle ne pouvait pas causer une incapacité de travail de longue durée, que le rapport neurochirurgical ne mentionnait aucune limitation fonctionnelle et que les symptômes subjectifs, qui ne reposaient sur aucun examen médical clinique, ne pouvaient pas être pris en compte. Appelé à se prononcer en procédure de recours, un deuxième médecin de l'OAIE, dans sa prise de position médicale du 19 mars 2010, a mentionné que la dysthymie, maladie psychiatrique à nouveau mise en évidence par le Dr K._______, n'était qu'une forme légère de trouble dépressif qui ne justifiait pas d'incapacité de travail. Quant à la pathologie somatique, il a précisé que le rapport E 213 ne mentionnait aucun signe de Lasègue ce qui démontrait l'absence de problèmes radiculaires. Finalement, dans sa dernière prise de position médicale du 28 mai 2010, ce médecin considère que les nouveaux documents ne faisaient que confirmer la pathologie déjà connue du recourant précisant que celui-ci ne subissait aucune invalidité liée à la dernière activité d'ouvrier blanchisseur et a par conséquent confirmé les précédents avis du Service médical de l'OAIE.</w:t>
      </w:r>
    </w:p>
    <w:p>
      <w:r>
        <w:rPr>
          <w:b/>
        </w:rPr>
        <w:t>E. 9.4</w:t>
      </w:r>
    </w:p>
    <w:p>
      <w:r>
        <w:t>Le recourant, pour sa part, s'en est remis aux rapports de ses propres médecins ainsi que de celui de l'ISS. Il a mis en évidence que ses maladies, autant somatiques que psychiques, l'empêchaient de travailler et d'effectuer les tâches quotidiennes de la vie courante. Selon les Drs F._______ et J._______, le recourant est incapable d'exercer toute activité professionnelle et aurait été adressé à une consultation externe en vue d'un traitement chirurgical. En outre, selon le Dr K._______, il souffre également de problèmes psychiques récurrents et d'alcoolisme.</w:t>
      </w:r>
    </w:p>
    <w:p>
      <w:r>
        <w:rPr>
          <w:b/>
        </w:rPr>
        <w:t>E. 9.5</w:t>
      </w:r>
    </w:p>
    <w:p>
      <w:r>
        <w:t>Le Tribunal constate en premier lieu que les implications fonctionnelles, les troubles moteurs radiculaires ainsi que la question de l'opportunité d'un traitement chirurgical sont controversés entre les médecins traitants, ceux de l'ISS et ceux de l'OAIE, les avis sont aussi discordants en ce qui concerne la capacité de travail du recourant soit dans la dernière activité exercée soit dans d'autres activités raisonnablement exigibles pour ce qui a trait aux atteintes somatiques. Sur le plan psychique, le Dr K._______ , spécialiste en psychiatrie, observe que l'assuré a été suivi dans l'unité de santé mentale depuis mars 2005 et qu'il suit régulièrement un traitement pharmacologique pour cette affection, ce qui était d'ailleurs déjà mentionné dans l'E312 du 15 décembre 2008. Les médecins de l'OAIE considèrent par contre que la dysthymie est réputée sans répercussion sur la capacité de travail du recourant et ne s'expriment pas sur les problèmes liés à un éventuel alcoolisme. Or, ces rapports médicaux, bien que non exhaustifs, établissent néanmoins que le recourant est suivi au niveau psychiatrique depuis plusieurs années. Dès lors, le Tribunal ne saurait se rallier sans autre aux avis exprimés par les deux médecins, généralistes, du Service médical de l'OAIE. En effet, l'administration et le juge appelés à se déterminer en matière d'assurances sociales doivent pouvoir se fonder sur les connaissances spéciales de l'auteur d'un certificat médical servant de base à leurs réflexions. Il s'en suite que le médecin rapporteur ou pour le moins le médecin signant le rapport médical pour l'OAIE doit disposer d'une spécialisation dans la discipline médicale concernée par une atteinte alléguée comme déterminante (arrêts du Tribunal fédéral 9C_736/2009 du 26 janvier 2010 consid. 2.1 et les références ; 9C :699/2009 du 24 février 2010 consid. 4.4 s. ; arrêt du Tribunal administratif fédéral C-2169 du 9 août 2010 consid. 3.3). En l'espèce, seule une évaluation exprimée par un psychiatre aurait pu établir si la dysthymie mentionnée pouvait avoir une valeur pathologique et, le cas échéant, déterminer une incapacité de travail relevante. En absence d'une telle évaluation, cette hypothèse ne pouvait pas être exclue a priori.</w:t>
      </w:r>
    </w:p>
    <w:p>
      <w:r>
        <w:rPr>
          <w:b/>
        </w:rPr>
        <w:t>E. 10</w:t>
      </w:r>
    </w:p>
    <w:p>
      <w:r>
        <w:t>Vu ce qui précède, le Tribunal administratif fédéral ne peut dès lors se prononcer et se doit, en application de l'art. 61 PA, d'admettre partiellement le recours, d'annuler la décision entreprise et de renvoyer le dossier à l'OAIE afin qu'il établisse par tous moyens utiles, notamment une expertise orthopédique et psychiatrique, les informations nécessaires à une évaluation de la capacité de travail de l'intéressé dans toute activité raisonnablement exigible, fixe le taux d'invalidité sur la base d'une comparaison de revenu et rende, après avoir accordé au recourant le droit d'être entendu, une nouvelle décision.</w:t>
      </w:r>
    </w:p>
    <w:p>
      <w:r>
        <w:rPr>
          <w:b/>
        </w:rPr>
        <w:t>E. 11.1</w:t>
      </w:r>
    </w:p>
    <w:p>
      <w:r>
        <w:t>Vu l'issue de le cause, il n'est pas perçu de frais de procédure (art. 63 al. 1 et 2 PA, art. 6 let b du règlement du 21 février 2008 concernant les frais, dépens et indemnités fixés par le Tribunal administratif fédéral [FITAF, RS 173.320.2]). L'avance de frais de Fr. 300.-- versée par le recourant lui sera remboursée.</w:t>
      </w:r>
    </w:p>
    <w:p>
      <w:r>
        <w:rPr>
          <w:b/>
        </w:rPr>
        <w:t>E. 11.2</w:t>
      </w:r>
    </w:p>
    <w:p>
      <w:r>
        <w:t>Bien que le recourant ait obtenu gain de cause, il n'a ni eu recours à un mandataire professionnel ni encouru de frais particulièrement élevés et nécessaires à la cause, de sorte qu'il ne lui est allouée aucune indemnité à titre de dépens (art. 64 al. 1 PA; art. 7 et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