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C-329/2013 vom 14. Dezember 2015</w:t>
      </w:r>
    </w:p>
    <w:p>
      <w:r>
        <w:t>Bundesverwaltungsgericht, 2015-12-14, DE</w:t>
      </w:r>
    </w:p>
    <w:p>
      <w:r>
        <w:rPr>
          <w:b/>
        </w:rPr>
        <w:t xml:space="preserve">Quelle: </w:t>
      </w:r>
      <w:r>
        <w:t>https://mcp.opencaselaw.ch/entscheid/bvger_C-329_2013</w:t>
      </w:r>
    </w:p>
    <w:p>
      <w:r>
        <w:t>FR: TAF C-329/2013 du 14 décembre 2015</w:t>
      </w:r>
    </w:p>
    <w:p>
      <w:r>
        <w:t>IT: TAF C-329/2013 del 14 dicembre 2015</w:t>
      </w:r>
    </w:p>
    <w:p>
      <w:pPr>
        <w:pStyle w:val="Heading2"/>
      </w:pPr>
      <w:r>
        <w:t>Regeste</w:t>
      </w:r>
    </w:p>
    <w:p>
      <w:r>
        <w:t>Einreiseverbot</w:t>
      </w:r>
    </w:p>
    <w:p>
      <w:pPr>
        <w:pStyle w:val="Heading2"/>
      </w:pPr>
      <w:r>
        <w:t>Erwägungen</w:t>
      </w:r>
    </w:p>
    <w:p>
      <w:r>
        <w:rPr>
          <w:b/>
        </w:rPr>
        <w:t>E. 1.1</w:t>
      </w:r>
    </w:p>
    <w:p>
      <w:r>
        <w:t>Verfügungen des BFM bzw. SEM, mit denen ein Einreiseverbot im Sinne von Art. 67 AuG, (SR 142.20) verhängt wird,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w:t>
      </w:r>
    </w:p>
    <w:p>
      <w:r>
        <w:rPr>
          <w:b/>
        </w:rPr>
        <w:t>E. 3.1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3.2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andere Rechtsgenossen im Vordergrund (zur Generalprävention im Ausländerrecht vgl. etwa Urteil des BGer 2C_282/2012 vom 31. Juli 2012 E. 2.5 mit Hinweisen). Die Spezialprävention kommt zum Tragen, soweit Art. 67 Abs. 2 Bst. b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u.a. die Unverletzlichkeit der objektiven Rechtsordnung und der Rechtsgüter Einzelner (BBl 2002 3709, 3813). Ein Verstoss gegen die öffentliche Sicherheit und Ordnung liegt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setzt dagegen voraus, dass konkrete Anhaltspunkte dafür bestehen, dass der Aufenthalt der betroffenen Person in der Schweiz mit erheblicher Wahrscheinlichkeit zu einem Verstoss gegen die öffentliche Sicherheit und Ordnung führen wird (Art. 80 Abs. 2 VZAE).</w:t>
      </w:r>
    </w:p>
    <w:p>
      <w:r>
        <w:rPr>
          <w:b/>
        </w:rPr>
        <w:t>E. 4</w:t>
      </w:r>
    </w:p>
    <w:p>
      <w:r>
        <w:t>Im Rechtsmittelverfahren vor dem Bundesverwaltungsgericht ist in aller Regel die Sachlage massgebend, wie sie sich zum Urteilszeitpunkt präsentiert (vgl. BVGE 2014/1 E. 2 m.H.). Diese Vorgehensweise findet ihre Rechtfertigung in der Verfahrensökonomie und in der Natur der Sache, bei der es um den Schutz der öffentlichen Sicherheit und Ordnung geht.</w:t>
      </w:r>
    </w:p>
    <w:p>
      <w:r>
        <w:rPr>
          <w:b/>
        </w:rPr>
        <w:t>E. 4.1</w:t>
      </w:r>
    </w:p>
    <w:p>
      <w:r>
        <w:t>Vorliegend hat der Beschwerdeführer allerdings - wie in der Prozessgeschichte unter Bst. U und V festgehalten - während des Beschwerdeverfahrens in der Schweiz erneut delinquiert, und zwar in einem Ausmass, das es rechtfertigt, vom erwähnten Grundsatz abzuweichen und die neuen Vorkommnisse in ein eigenes Verfahren zu verweisen. Im Rahmen des vorliegenden Verfahrens sind diese Vorkommnisse nur insoweit zu berücksichtigen, als sie Rückschlüsse auf die Gefährdungslage zur Zeit der angefochtenen Verfügung zulassen.</w:t>
      </w:r>
    </w:p>
    <w:p>
      <w:r>
        <w:rPr>
          <w:b/>
        </w:rPr>
        <w:t>E. 4.2</w:t>
      </w:r>
    </w:p>
    <w:p>
      <w:r>
        <w:t>Der Vorinstanz steht es frei, nach Abschuss des vorliegenden Verfahrens unter Wahrung der Parteirechte des Beschwerdeführers zu prüfen, ob die erwähnten neuen Vorkommnisse Anlass für eine eigenständige Fernhaltemassnahme bzw. (im Falle einer ganzen oder teilweisen Bestätigung des angefochtenen Einreiseverbots) für ein Anschlussverbot geben sollen.</w:t>
      </w:r>
    </w:p>
    <w:p>
      <w:r>
        <w:rPr>
          <w:b/>
        </w:rPr>
        <w:t>E. 5.1</w:t>
      </w:r>
    </w:p>
    <w:p>
      <w:r>
        <w:t>Der Beschwerdeführer erwirkte zwischen 2003 und 2010 nicht weniger als fünf Strafurteile. Dass diese zumeist Delikte gegen die Strassenverkehrsgesetzgebung beinhaltet hätten, trifft entgegen der Behauptung des Beschwerdeführers nicht zu. Die Delikte richteten sich insbesondere auch gegen das Eigentum und gegen besonders sensible Rechtsgüter wie Leib und Leben sowie Gesundheit. Dreimal wurde er deswegen zu Freiheitsstrafen verurteilt.</w:t>
      </w:r>
    </w:p>
    <w:p>
      <w:r>
        <w:rPr>
          <w:b/>
        </w:rPr>
        <w:t>E. 5.2</w:t>
      </w:r>
    </w:p>
    <w:p>
      <w:r>
        <w:t>Mit der im erwähnten Zeitraum abgeurteilten Delinquenz des Beschwerdeführers hat sich der Fernhaltegrund einer Verletzung der öffentlichen Sicherheit und Ordnung gemäss Art. 67 Abs. 2 Bst. a AuG ohne weiteres verwirklicht. Ein weiterer Fernhaltegrund kann darin gesehen werden, dass der Beschwerdeführer Sozialhilfekosten verursacht und Schuldenwirtschaft betrieben hat (Art. 67 Abs. 2 Bst. b AuG; Urteil BVGer C-5578/2013 vom 8. Januar 2015 E. 4.3). Der Beschwerdeführer hat mit dem erwähnten Fehlverhalten Umstände geschaffen, die zur Verhängung einer Fernhaltemassnahme führen können.</w:t>
      </w:r>
    </w:p>
    <w:p>
      <w:r>
        <w:rPr>
          <w:b/>
        </w:rPr>
        <w:t>E. 5.3</w:t>
      </w:r>
    </w:p>
    <w:p>
      <w:r>
        <w:t>Indem die Vorinstanz mit ihrer teilweisen Wiedererwägung den rechtlichen Rahmen von fünf Jahren gemäss Art. 67 Abs. 3 Satz 1 AuG nicht überschritten hat, braucht nicht mehr geprüft zu werden, ob von einer schwerwiegenden Gefahr für die öffentliche Sicherheit und Ordnung ausgegangen werden konnte, die gestützt auf Art. 67 Abs. 3 Satz 2 AuG zu einem mehr als fünfjährigen Einreiseverbot ermächtigt hätte.</w:t>
      </w:r>
    </w:p>
    <w:p>
      <w:r>
        <w:rPr>
          <w:b/>
        </w:rPr>
        <w:t>E. 6</w:t>
      </w:r>
    </w:p>
    <w:p>
      <w:r>
        <w:t>Hingegen bleibt zu prüfen, ob die Massnahme in richtiger Ausübung des Ermes­sens ergangen und angemessen ist. Das Prinzip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 Müller / Uhlmann, Allgemeines Verwaltungsrecht, 6. Aufl., Zürich und St. Gallen 2010, Rz. 613 f.).</w:t>
      </w:r>
    </w:p>
    <w:p>
      <w:r>
        <w:rPr>
          <w:b/>
        </w:rPr>
        <w:t>E. 6.1</w:t>
      </w:r>
    </w:p>
    <w:p>
      <w:r>
        <w:t>Das öffentliche Interesse an einer Fernhaltung des Beschwerdeführers war im Zeitpunkt der vorinstanzlichen Verfügung schon aus objektiver, präventiv-polizeilicher Sicht als gewichtig einzustufen. Ausländische Personen, die über Jahre hinweg immer wieder straffällig werden, sind nach Möglichkeit von der Schweiz fernzuhalten. Dies gilt umso mehr, wenn die begangene Delinquenz auch besonders sensible Rechtgüter betraf. Es gilt nach dem bereits Gesagten aber auch, wenn Sozialhilfekosten verursacht und Schuldenwirtschaft betrieben wurde. In solchen Situationen ist durch eine kontinuierliche und konsequente Verwaltungspraxis zu verdeutlichen, dass zum Schutz der öffentlichen Sicherheit und Ordnung Fernhaltemassnahmen angeordnet werden können.</w:t>
      </w:r>
    </w:p>
    <w:p>
      <w:r>
        <w:rPr>
          <w:b/>
        </w:rPr>
        <w:t>E. 6.2</w:t>
      </w:r>
    </w:p>
    <w:p>
      <w:r>
        <w:t>Aber auch in subjektiver Hinsicht wog das vom Beschwerdeführer vor Erlass der Fernhaltemassnahme verwirklichte Fehlverhalten schwer und war von einer ernsthaften Gefahr für weitere Delikte auszugehen. Der Beschwerdeführer delinquierte über Jahre hinweg immer wieder und liess sich dabei weder von erlittenen Vorstrafen, noch von drohendem Strafvollzug oder einer administrativen Verwarnung abhalten. Entsprechend stellte ihm denn auch beispielsweise das Appellationsgericht des Kantons Basel-Stadt in dessen Urteil vom 15. Dezember 2010 eine insgesamt schlechte Legalprognose.</w:t>
      </w:r>
    </w:p>
    <w:p>
      <w:r>
        <w:rPr>
          <w:b/>
        </w:rPr>
        <w:t>E. 6.3</w:t>
      </w:r>
    </w:p>
    <w:p>
      <w:r>
        <w:t>Persönliche Interessen daran, nicht mit einem Einreiseverbot belegt zu werden, äussert der Beschwerdeführer in seiner Rechtsmitteleingabe nur gerade im Zusammenhang mit der Ausschreibung im SIS zur Einreiseverweigerung (dazu siehe weiter unten). Er ist zwar mit einer schweizerisch-dominikanischen Doppelbürgerin verheiratet, macht aber wohl zu Recht nicht geltend, die Massnahme verletze seine Ansprüche auf Schutz des Familienlebens in der Schweiz. Eine solche Berufung würde voraussetzen, dass eine eheliche Beziehung besteht und im Rahmen des Möglichen auch gelebt wird. Dass der Beschwerdeführer mit seiner aktuellen Ehegattin tatsächlich eine Beziehung lebt, kann nicht angenommen werden. Zum einen gingen sowohl die Zivilstands- wie auch die Migrationsbehörden davon aus, dass die beiden Beteiligten mit dem angestrebten (und am 18. Dezember 2009 im Ausland verwirklichten) Eheschluss keine wirkliche Lebensgemeinschaft beabsichtigten (vgl. vorstehende Ausführungen zur Prozessgeschichte unter Bst. F und Bst. I). Die Beurteilung durch die kantonalen Behörden erfolgte weitgehend unabhängig voneinander und nach Auswertung vorgängiger Abklärungen. An der Einschätzung dieser Behörden ist umso weniger zu zweifeln, als der Beschwerdeführer im hängigen Rechtsmittelverfahren vor dem Bundesverwaltungsgericht nichts vorbrachte, was dennoch auf eine tatsächlich gelebte Beziehung schliessen liesse. Zum anderen ergibt sich aus den vom Bundesverwaltungsgericht nachträglich beigezogenen Strafakten (Urteil des Strafgerichts des Kantons Basel-Stadt vom 16. Mai 2014; Sachverhalt Ziff. I, 3), dass sich die Ehefrau des Beschwerdeführers per 4. Juli 2013 aus der Schweiz abgemeldet hat und seither in der Dominikanischen Republik lebt.</w:t>
      </w:r>
    </w:p>
    <w:p>
      <w:r>
        <w:rPr>
          <w:b/>
        </w:rPr>
        <w:t>E. 7</w:t>
      </w:r>
    </w:p>
    <w:p>
      <w:r>
        <w:t>Eine wertende Gewichtung der sich entgegenstehenden öffentli­chen und (soweit überhaupt erkennbaren) privaten Interessen führt das Bundesverwaltungsgericht zum Schluss, dass das auf fünf Jahre befristete Einreiseverbot sowohl vom Grundsatz her als auch in Bezug auf seine Dauer eine verhältnismäs­sige und angemessene Massnahme zum Schutz der öffentlichen Sicherheit und Ordnung darstellt.</w:t>
      </w:r>
    </w:p>
    <w:p>
      <w:r>
        <w:rPr>
          <w:b/>
        </w:rPr>
        <w:t>E. 8</w:t>
      </w:r>
    </w:p>
    <w:p>
      <w:r>
        <w:t>Schliesslich bestreitet der Beschwerdeführer auch die Rechtmässigkeit der von der Vorinstanz angeord­neten Ausschreibung des Einreiseverbots im Schengener Informationssystem SIS.</w:t>
      </w:r>
    </w:p>
    <w:p>
      <w:r>
        <w:rPr>
          <w:b/>
        </w:rPr>
        <w:t>E. 8.1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 Die Mitglied­staaten können der betroffenen Person aber aus wichtigen Gründen oder auf­grund internationaler Verpflichtungen die Einreise in das eigene Hoheits­gebiet gestatten (vgl. Art. 13 Abs. 1 i.V.m. Art. 5 Abs. 4 Bst. c SGK) bzw. ihr ein Schengen-Visum mit räumlich beschränkter Gültigkeit ausstellen (vgl. Art. 25 Abs. 1 Bst. a [ii] Visakodex).</w:t>
      </w:r>
    </w:p>
    <w:p>
      <w:r>
        <w:rPr>
          <w:b/>
        </w:rPr>
        <w:t>E. 8.2</w:t>
      </w:r>
    </w:p>
    <w:p>
      <w:r>
        <w:t>Personen, die weder Bürger der EU noch Angehörige eines Staates sind, mir dem die EU ein Freizügigkeitsabkommen geschlossen haben (Drittstaatsangehörige), können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22006, S. 4]).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8.3</w:t>
      </w:r>
    </w:p>
    <w:p>
      <w:r>
        <w:t>Der Beschwerdeführer kann als Drittstaatsangehöriger grundsätzlich zur Einreise- bzw. Aufenthaltsverweigerung im SIS ausgeschrieben wer­den. Die von ihm begangenen Delikte erfüllen den von Art. 24 Ziff. 2 Bst. a SIS-II-Verordnung verlangten Schweregrad. Seine Auffassung, wonach er über eine Aufenthaltsbewilligung in Spanien verfüge und die Vorinstanz deshalb gehalten wäre, auf eine Ausschreibung zu verzichten bzw. diese zu revozieren, kann so nicht geteilt werden. Es liegt nicht an den schweizerischen Behörden, auf eine sonst gerechtfertigte Ausschreibung zu verzichten, nur weil eine drittstaatsangehörige Person in einem anderen Schengen-Mitgliedstaat aufenthaltsberechtigt ist. Die Schweiz hat vielmehr das Einreiseverbot im SIS auszuschreiben und den anderen Mitgliedstaat zu konsultieren, damit dieser prüfe, ob ausreichende Gründe für die Einziehung des Aufenthaltstitels bestehen. Erst wenn sich dieser andere Mitgliedstaat entschliesst, den Aufenthaltstitel nicht einzuziehen, ist die Schweiz zur Rücknahme der Ausschreibung verpflichtet (vgl. dazu Art. 25 Abs. 2 des Schengener Durchführungsübereinkommens vom 19. Juni 1990 [SDÜ, Abl. L 239/19 vom 22.09.2000], ferner Urteil BVGer C- 535/2013 vom 9. Juli 2015, insb. E. 8.4.3).</w:t>
      </w:r>
    </w:p>
    <w:p>
      <w:r>
        <w:rPr>
          <w:b/>
        </w:rPr>
        <w:t>E. 8.4</w:t>
      </w:r>
    </w:p>
    <w:p>
      <w:r>
        <w:t>Das Bundesverwaltungsgericht weist darauf hin, dass die Schweiz im Anwendungsbereich des Schengen-Rechts nicht nur eigene Interessen zu wahren hat, sondern als Folge des Grundsatzes der loyalen Zusammenarbeit bei der Administration des gemeinsamen Raums der Freiheit, der Sicherheit und des Rechts, auf dem das Schengen-System beruht, zur getreuen Wahrung der Interessen der Gesamtheit der Schengen-Staaten verpflichtet ist (vgl. BVGE 2011/48 E. 6.1). Die Schweiz hat dabei in Rechnung zu stellen, dass wegen des Wegfalls systematischer Personenkontrollen an den Schengen-Innengrenzen Einreiseverbote und ähnliche Massnahmen ihre volle Wirksamkeit nur entfalten können, wenn sich ihre Geltung und ihre Durchsetzbarkeit nicht auf einzelne Schengen-Staaten beschränkt. Angesichts der festgestellten, vom Beschwerdeführer ausgehenden Gefahr für die öffentliche Sicherheit und Ordnung, die sich zudem nicht zum vornherein auf das Territorium der Schweiz beschränkt, liegt die Ausschreibung des Einreiseverbots im zwingenden gemeinsamen Interesse der Schweiz und der übrigen Schengen-Staaten. Eine mit der Ausschreibung einhergehende zusätzliche Beeinträchtigung der persönlichen Bewegungsfreiheit hat der Beschwerdeführer in Kauf zu nehmen.</w:t>
      </w:r>
    </w:p>
    <w:p>
      <w:r>
        <w:rPr>
          <w:b/>
        </w:rPr>
        <w:t>E. 9</w:t>
      </w:r>
    </w:p>
    <w:p>
      <w:r>
        <w:t>Das von der Vorinstanz wiedererwägungsweise auf fünf Jahre befristete Einreiseverbot ist - im Lichte von Art. 49 VwVG - nicht zu beanstanden. Die Beschwerde ist daher abzuweisen, soweit sie nicht durch die wiedererwägungsweise erlassene Verfügung vom 16. Mai 2013 gegenstandslos geworden ist.</w:t>
      </w:r>
    </w:p>
    <w:p>
      <w:r>
        <w:rPr>
          <w:b/>
        </w:rPr>
        <w:t>E. 10</w:t>
      </w:r>
    </w:p>
    <w:p>
      <w:r>
        <w:t>Gemäss Art. 63 Abs. 1 VwVG sind die Verfahrenskosten der unterliegenden Partei aufzuerlegen. Bei teilweisem Unterliegen werden die Kosten ermässigt. Insoweit die Vorinstanz auf ihre Verfügung vom 16. Mai 2013 zurückgekommen ist und die Dauer der Fernhaltemassnahme von neun auf fünf Jahre reduziert hat, ist der Beschwerdeführer als obsiegende Partei anzusehen und sind die Verfahrenskosten entsprechend zu reduzieren. Aus dem gleichen Grund ist dem Beschwerdeführer zulasten der Vorinstanz eine ermässigte Entschädigung für ihm entstandene notwendige und verhältnismässig hohe Kosten zuzusprechen (vgl. Art. 64 Abs. 1 und Abs. 2 VwVG; Art. 1 ff. des Reglements vom 21. Februar 2008 über die Kosten und Entschädigungen vor dem Bundesverwaltungsgericht [VGKE, SR 173.320.2]).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