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C-329/2010 vom 12. August 2010</w:t>
      </w:r>
    </w:p>
    <w:p>
      <w:r>
        <w:t>Bundesverwaltungsgericht, 2010-08-12, IT</w:t>
      </w:r>
    </w:p>
    <w:p>
      <w:r>
        <w:rPr>
          <w:b/>
        </w:rPr>
        <w:t xml:space="preserve">Quelle: </w:t>
      </w:r>
      <w:r>
        <w:t>https://mcp.opencaselaw.ch/entscheid/bvger_C-329_2010</w:t>
      </w:r>
    </w:p>
    <w:p>
      <w:r>
        <w:t>FR: TAF C-329/2010 du 12 août 2010</w:t>
      </w:r>
    </w:p>
    <w:p>
      <w:r>
        <w:t>IT: TAF C-329/2010 del 12 agosto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w:t>
      </w:r>
    </w:p>
    <w:p>
      <w:r>
        <w:rPr>
          <w:b/>
        </w:rPr>
        <w:t>E. 1.3</w:t>
      </w:r>
    </w:p>
    <w:p>
      <w:r>
        <w:t>A._______ ha il diritto di ricorrere (art. 48 cpv.1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 287). Come rilevato a giusto titolo dall'autorità inferiore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w:t>
      </w:r>
    </w:p>
    <w:p>
      <w:r>
        <w:rPr>
          <w:b/>
        </w:rPr>
        <w:t>E. 4.1</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 Le condizioni d'entrata previste dal codice frontiere Schengen corrispondono essenzialmente a quelle di cui all'art. 5 cpv. 1 della legge federale del 16 dicembre 2005 sugli stranieri (LStr, RS 142.20).</w:t>
      </w:r>
    </w:p>
    <w:p>
      <w:r>
        <w:rPr>
          <w:b/>
        </w:rPr>
        <w:t>E. 4.2</w:t>
      </w:r>
    </w:p>
    <w:p>
      <w:r>
        <w:t>L'art. 5 cpv. 2 LStr esige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5</w:t>
      </w:r>
    </w:p>
    <w:p>
      <w:r>
        <w:t>L'art. 1 § 1 e 2 del Regolamento n. 539/2001 del Consiglio del 15 marzo 2001 (GU L 81 del 21 marzo 2001, pag. 1-7) distingue tra i cittadini dei paesi terzi a dipendenza dell'obbligo del visto. I cittadini di paesi terzi elencati nell'allegato I del precitato regolamento devono essere in possesso di un visto all'atto dell'attraversamento delle frontiere esterne degli Stati membri. Considerato che la Thailandia figura in questo allegato, B._______, quale cittadina tailandese, soggiace all'obbligo del visto.</w:t>
      </w:r>
    </w:p>
    <w:p>
      <w:r>
        <w:rPr>
          <w:b/>
        </w:rPr>
        <w:t>E. 6.1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 richiedente.</w:t>
      </w:r>
    </w:p>
    <w:p>
      <w:r>
        <w:rPr>
          <w:b/>
        </w:rPr>
        <w:t>E. 6.2</w:t>
      </w:r>
    </w:p>
    <w:p>
      <w:r>
        <w:t>A tale proposito è necessario prendere in considerazione la qualità di vita e le condizioni economiche e sociali prevalenti in Thailandia. L'economia di questo Paese ha ripreso a crescere dopo la crisi finanziaria asiatica del 1997. In effetti nel 2007 la crescita economica era del 4.8 %. Tuttavia nel 2008, in particolare a causa della crisi finanziaria mondiale, la crescita economica è rallentata. Il tasso complessivo registrato si situava al 2.3 %. Il prodotto interno lordo (PIL) corrispondeva al 4'081 USD nel 2008 e al 3'845 USD nel 2009. A tutt'oggi larghe fasce di popolazione sono confrontate a condizioni economiche e sociali difficili (cfr. fonti: sito internet dell'Ufficio degli affari esteri tedesco, &lt;http://www.auswaertiges-amt.de&gt;, Länder, Reisen und Sicherheit &gt; alle Länder A - Z &gt; Thailand &gt; ultimo aggiornamento: ottobre 2009, visitato il 14 luglio 2010).</w:t>
      </w:r>
    </w:p>
    <w:p>
      <w:r>
        <w:rPr>
          <w:b/>
        </w:rPr>
        <w:t>E. 6.3</w:t>
      </w:r>
    </w:p>
    <w:p>
      <w:r>
        <w:t>Tenuto conto della situazione socioeconomica del Paese d'origine della richiedente nonché delle differenze tra questo Paese e la Svizzera, la valutazione dell'UFM secondo cui il rischio di un'uscita non conforme ai termini prestabiliti appaia relativamente elevato, non può essere contestata. Effettivamente, a prescindere dal fatto che la predisposizione a lasciare il proprio Paese d'origine è agevolata allorquando parenti o conoscenti si trovano all'estero, va ricordato che la pressione migratoria, come lo dimostra l'esperienza, risulta essere più elevata in presenza di persone giovani che non hanno particolari legami famigliari o professionali al loro Paese d'origine. Ciò nonostante trarre delle conclusioni basandosi unicamente sulla situazione generale del paese d'origine, porterebbe ad una valutazione dei fatti eccessivamente generalizzata. Occorre per tanto esaminare l'insieme delle circostanze del caso concreto. In particolare gli obblighi familiari, sociali o professionali possono costituire una prognosi favorevole in vista di una partenza regolare dalla Svizzera.</w:t>
      </w:r>
    </w:p>
    <w:p>
      <w:r>
        <w:rPr>
          <w:b/>
        </w:rPr>
        <w:t>E. 7.1</w:t>
      </w:r>
    </w:p>
    <w:p>
      <w:r>
        <w:t>Per quanto riguarda i vincoli al Paese d'origine, dagli atti di causa risulta che la richiedente ha 29 anni, è nubile e non ha figli, non le incombe pertanto alcun obbligo famigliare, come asserito a giusto titolo dall'autorità inferiore. Per quanto attiene ad un impiego si osserva che nella richiesta di visto del 15 maggio 2009 l'interessata aveva dichiarato di essere impiegata presso il Thai Restaurant D._______, ciò che non è stato comprovato con nessun documento. Nella seconda richiesta di visto compilata il 21 ottobre 2009 l'interessata non ha indicato alcun impiego; si può quindi concludere che la richiedente non ha neppure alcun vincolo di natura professionale al suo Paese d'origine, ciò che il ricorrente ha d'altronde chiaramente indicato osservando che la richiedente non svolgeva alcuna attività lucrativa e che lui stesso ne assumeva il sostentamento. Circa il motivo di soggiorno, va menzionato che nello scritto del 10 gennaio 2009 all'attenzione dell'Ambasciata Svizzera di Bangkok, il ricorrente scriveva che "qualora non le piacesse in Svizzera, la richiedente avrebbe potuto in qualsiasi momento fare rientro in Thailandia". In altre parole tale espressione lascia intendere che l'interessata sarebbe stata disposta a soggiornare presso il ricorrente a tempo indeterminato. In aggiunta a ciò, dalle indicazioni fornite dall'Ambasciata Svizzera a Bangkok il 19 maggio 2009, risulta che l'ospitante è il fidanzato della richiedente. La stessa ha poi affermato che l'invitante aveva lasciato la Thailandia da un anno mentre in realtà egli era già rientrato in Svizzera da tre anni ed ha manifestato la volontà di vivere assieme a lui in Svizzera e prendersene cura. In occasione del secondo rifiuto con formulario del 22 ottobre 2009 essa ha dichiarato che il garante era il suo "Ex-Chef" senza tuttavia poterlo dimostrare. Infine i timori di una partenza non conforme ai termini prestabiliti espressi dall'autorità di prime cure si avverano a maggior ragione fondati in quanto il ricorrente nella sua replica del 15 marzo 2010 ha esternato la possibilità di sposare la richiedente al fine di poterla invitare in Svizzera e in seguito procurarle un permesso di soggiorno in Svizzera. Tale affermazione indica palesemente che la persona in questione non ha alcun vincolo famigliare al suo Paese d'origine e che, soprattutto, i motivi alla base del soggiorno auspicato non sono chiari.</w:t>
      </w:r>
    </w:p>
    <w:p>
      <w:r>
        <w:rPr>
          <w:b/>
        </w:rPr>
        <w:t>E. 7.2</w:t>
      </w:r>
    </w:p>
    <w:p>
      <w:r>
        <w:t>Visto quanto precede, il mero desiderio espresso dal ricorrente, perfettamente comprensibile, di invitare l'amica in Svizzera non può costituire di per sé un motivo giustificante la concessione del visto. Tenuto conto del numero importante di domande di concessioni dell'autorizzazione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nello spazio Schengen. Da quanto precede il Tribunale constata che si è in presenza di un rischio migratorio elevato e che pertanto, pure in considerazione dei gravi problemi di salute del ricorrente i quali gli impediscono di viaggiare, il rilascio del visto a favore della richiedente non può essere concesso.</w:t>
      </w:r>
    </w:p>
    <w:p>
      <w:r>
        <w:rPr>
          <w:b/>
        </w:rPr>
        <w:t>E. 7.3</w:t>
      </w:r>
    </w:p>
    <w:p>
      <w:r>
        <w:t>Ne discende che l'autorità di prime cure ha rilevato a giusto titolo sulla base della situazione agli atti, che l'uscita dallo spazio Schengen entro i termini stabiliti dopo un soggiorno per visita non è sufficientemente garantita. Giustificati si sono rivelati pure i dubbi circa lo scopo effettivo del soggiorno. La correttezza di tale valutazione non può essere pregiudicata neanche dalle ripetute dichiarazioni di garanzia di uscita puntuale dalla Svizzera formulate dal ricorrente. A questo titolo giova sottolineare che la buona fede e l'onestà dell'invitante non è messa in discussione.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la dichiarazione fornita dal ricorrente con la quale egli si porta garante per tutte le spese di soggiorno, non è tale da impedire alla richiedente di intraprendere i passi necessari per stabilirvisi durevolmente (cfr. DTAF 2009/27 consid. 9). Le garanzie finanziarie fornite dall'ospitante costituiscono delle semplici dichiarazioni d'intenzione prive di effetti giuridici le quali non permettono di garantire la volontà della richiedente di uscire dallo spazio Schengen e di assicurarne la partenza entro i termini stabiliti.</w:t>
      </w:r>
    </w:p>
    <w:p>
      <w:r>
        <w:rPr>
          <w:b/>
        </w:rPr>
        <w:t>E. 7.4</w:t>
      </w:r>
    </w:p>
    <w:p>
      <w:r>
        <w:t>Per quanto concerne la proposta del ricorrente di versare una cauzione in denaro, prevista dall'art. 6 cpv. 3 LStr, quale garanzia di ritorno in Patria dell'invitata, incombeva a quest'ultimo trovare un accordo con le autorità cantonali competenti allo scopo di depositarla. Tuttavia neppure in presenza di una tale cauzione è possibile prevedere le intenzioni e il comportamento della persona invitata. Prestando una sicurezza finanziaria l'ospitante può certamente garantire la copertura di eventuali costi insorti durante il soggiorno auspicato, ma non è comunque in grado di garantire un certo comportamento (cfr. sentenza del Tribunale amministrativo federale C-7005/2007 del 25 giugno 2009 consid. 9 e giurisprudenza ivi citata).</w:t>
      </w:r>
    </w:p>
    <w:p>
      <w:r>
        <w:rPr>
          <w:b/>
        </w:rPr>
        <w:t>E. 8</w:t>
      </w:r>
    </w:p>
    <w:p>
      <w:r>
        <w:t>Ne discende che l'UFM con decisione del 6 gennaio 2010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