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C-3282/2008 vom 2. Juni 2010</w:t>
      </w:r>
    </w:p>
    <w:p>
      <w:r>
        <w:t>Bundesverwaltungsgericht, 2010-06-02, IT</w:t>
      </w:r>
    </w:p>
    <w:p>
      <w:r>
        <w:rPr>
          <w:b/>
        </w:rPr>
        <w:t xml:space="preserve">Quelle: </w:t>
      </w:r>
      <w:r>
        <w:t>https://mcp.opencaselaw.ch/entscheid/bvger_C-3282_2008</w:t>
      </w:r>
    </w:p>
    <w:p>
      <w:r>
        <w:t>FR: TAF C-3282/2008 du 2 juin 2010</w:t>
      </w:r>
    </w:p>
    <w:p>
      <w:r>
        <w:t>IT: TAF C-3282/2008 del 2 giugno 2010</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14 aprile 2008 (data della decisione impugnata) non risulterebbe più favorevole al ricorrente (cfr. sentenza del Tribunale federale 9C_942/2009 del 15 marzo 2010 consid. 3.1). Pertanto, e salvo indicazione contraria, di seguito è fatto riferimento alle norme in vigore fino al 31 dicembre 2007, fermo restando che l'art. 17 LPGA e gli art. 87, 88 e 88a e 88bis RAI concernenti la revisione di una rendita d'invalidità non hanno subito modifiche con l'entrata in vigore della 5a revisione della LAI.</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(art. 29 cpv. 4 a partire dal 1° gennaio 2008),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allorchè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26 luglio 2005 (data della decisione mediante la quale è stata accordata la rendita intera) ed il 14 aprile 2008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6.2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6.3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7.3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8</w:t>
      </w:r>
    </w:p>
    <w:p>
      <w:r>
        <w:t>Dal profilo professionale, da ultimo il ricorrente è stato alle dipendenze dell'impresa di costruzioni H._______ in qualità di muratore, in ragione di 40/45 ore alla settimana, da gennaio 2001 al 13 settembre 2002 allorquando ha cessato l'attività per motivi di salute. È poi stato licenziato con effetto al 30 aprile 2003 (doc. A 27-1). Non appare dalle carte processuali che successivamente abbia ancora lavorato.</w:t>
      </w:r>
    </w:p>
    <w:p>
      <w:r>
        <w:rPr>
          <w:b/>
        </w:rPr>
        <w:t>E. 9</w:t>
      </w:r>
    </w:p>
    <w:p>
      <w:r>
        <w:t>Dalla documentazione medica, segnatamente dalla perizia reumatologica del 9 luglio 2007, risulta la diagnosi di sindrome lombo-vertebrale cronica senza neurologia (con) stato dopo resezione microchirurgica dell'ernia discale L4-L5 a destra, stato dopo spondilodesi posteriore da L3 a L5 (e) discopatia con ernia discale L3-L4 foraminale sinistra e L4-L5 con ernia discale foraminale/extra-foraminale destra L4-L5, gonalgie mediali con esiti di lesione del legamento crociato mediale con sutura, lesione del legamento crociato anteriore con plastica artroscopica a sinistra, PSH destra tendinotica semplice nonché sindrome algica diffusa agli arti inferiori (doc. A 62-1).</w:t>
      </w:r>
    </w:p>
    <w:p>
      <w:r>
        <w:rPr>
          <w:b/>
        </w:rPr>
        <w:t>E. 9.1</w:t>
      </w:r>
    </w:p>
    <w:p>
      <w:r>
        <w:t>Questo Tribunale rileva che l'autorità inferiore - in virtù dei rapporti del 5 giugno e 20 novembre 2007 e del 27 febbraio e 26 marzo 2008 del dott. E._______, medico dell'UAIE, nonché del rapporto del 5 ottobre 2007 della consulente F._______, del Servizio integrazione professionale dell'AI, i quali, a loro volta, si sono fondati sulla citata perizia reumatologica del 9 luglio 2007 del dott. B._______, specialista in reumatologia e medicina interna - ha ritenuto di potere ravvisare un moderato miglioramento dello stato di salute del ricorrente e, conseguentemente, della sua capacità lavorativa, rispetto alla situazione che aveva originato la concessione di una rendita intera il 26 luglio 2005 (cfr. perizia reumatologica del 24 maggio 2005 del dott. B._______; doc. A 53-1).</w:t>
      </w:r>
    </w:p>
    <w:p>
      <w:r>
        <w:rPr>
          <w:b/>
        </w:rPr>
        <w:t>E. 9.2</w:t>
      </w:r>
    </w:p>
    <w:p>
      <w:r>
        <w:t>Il dott. B._______, nella più volte citata periza, ha rilevato che l'insorgente è paziente con nota patologia lombare degenerativa, rivisto 2 anni e mezzo dopo l'intervento di spondilodesi L3-L5. Soggettivamente la situazione è praticamente rimasta invariata (rispetto alla visita peritale dell'11 marzo 2005 [cfr. doc. A 53-1]). Oggettivamente, per contro, va rilevato un moderato miglioramento della mobilità della colonna lombare (segnatamente al movimento di flessione in avanti e di flessione laterale) nonché del trofismo muscolare agli arti superiori ed agli arti inferiori. Come già riscontrato nella prima visita peritale del 2005 non vi sono segni radicolari irritativi o deficitari. I dolori diffusi agli arti inferiori sono da inquadrare in un contesto di cellulalgie o sindrome miofasciale, disturbi senza una chiara causa organica. Una componente funzionale risulta inoltre anche dalla forza di presa estremamente diminuita, ciò che sorprende nel contesto di uno spiccato trofismo muscolare ed in assenza di benché minime alterazioni osteoarticolari degli arti superiori. Il perito ha rilevato che il ricorrente non ha però cercato di aggravare i suoi disturbi lombari in occasione della visita. Il dott. B._______ ha quindi ribadito che l'insorgente non è più in grado di svolgere la precedente attività di muratore, ma ha ritenuto esigibile, dal profilo medico, un'attività sostituiva confacente al suo stato di salute nella misura del 50% (lavoro a tempo pieno con limitazione del rendimento del 50% oppure lavoro a metà giornata), segnatamente di un lavoro leggero, possibilmente sedentario, che consenta un cambiamento della posizione, con sollevamento di pesi non superiori ai 10 kg, senza frequenti e ripetuti movimenti di flessione e/o torsione lombare, senza necessità di camminare per oltre 30 minuti, senza attività in posizione inginocchiata o accovacciata nonché senza attività con il braccio alzato al di sopra dell'orizzontale.</w:t>
      </w:r>
    </w:p>
    <w:p>
      <w:r>
        <w:rPr>
          <w:b/>
        </w:rPr>
        <w:t>E. 9.3</w:t>
      </w:r>
    </w:p>
    <w:p>
      <w:r>
        <w:t>Questo Tribunale osserva altresì che la menzionata perizia reumatologica del luglio 2007 del dott. B._______ si fonda su informazioni fornite dalla persona esaminata, sull'esame del quadro clinico, sulle risultanze della visita dell'insorgente nonché sulla documentazione medica agli atti e comporta segnatamente l'anamne-si, informazioni tratte dall'incarto, indicazioni del paziente, risultati d'esame, la diagnosi, la discussione nonché la risposta alle domande poste. Tale relazione medica può essere considerata un mezzo probatorio idoneo per la valutazione dello stato di salute del ricorrente e dell'esigibilità dell'esercizio di un'attività sostitutiva adeguata. Le ivi ritenute diagnosi e incapacità lavorativa sono state sottoposte al dott. E._______, medico del SMR, che nel suo rapporto del 26 marzo 2008 (doc. A 81-1) le ha confermate, anche in base alla nuova documentazione medica esaminata.</w:t>
      </w:r>
    </w:p>
    <w:p>
      <w:r>
        <w:rPr>
          <w:b/>
        </w:rPr>
        <w:t>E. 9.4</w:t>
      </w:r>
    </w:p>
    <w:p>
      <w:r>
        <w:t>Certo, il ricorrente ha fatto valere in sede ricorsuale che le sue condizioni di salute sono stazionarie e tali da giustificare un'incapacità lavorativa del 100% in qualsiasi attività, anche in una confacente alle sue attuali condizioni di salute. Egli fonda la sua (diversa) opinione segnatamente sul rapporto medico del 6 novembre 2007 del dott. G._______ e sul certificato medico del 7 novembre 2007 del dott. D._______ (doc. A 69-4 e 69-6), prodotti con scritto di osservazioni al progetto di decisione del 10 ottobre 2007 (e poi ancora con il gravame) e sottoposti al vaglio del SMR. Tuttavia - e come già ritenuto dal dott. E._______ nei suoi rapporti del 27 febbraio e 26 marzo 2008 (doc. A 77-1 e 81-1) - nella misura in cui le relazioni mediche del novembre 2007 si riferiscono alle note diagnosi (segnatamente di sindrome lombo-vertebrale cronica con stato dopo resezione e spondilodesi L3-L5 nonché gonalgie con esiti di lesione del legamento crociato mediale e lesione del legamento crociato anteriore) non apportano alcun nuovo elemento decisivo nel senso indicato dall'insorgente per la sua valutazione dell'incapacità lavorativa. Peraltro, l'apprezzamento del dott. G._______ sull'incapacità lavorativa del ricorrente è chiaro solo per quanto attiene alla precedente attività di muratore del medesimo, mentre è vago sulle eventuali, e neppure concretamente citate, attività sostitutive leggere. Inoltre, laddove i menzionati documenti medici del mese di novembre del 2007 fanno stato di nuove patologie - cervicalgia nonché cardiopatia ipertensiva con sospetta sindrome di Brugada - queste non sono corroborate da riscontri medici oggettivi nelle relazioni medesime, non senza dimenticare che negli stessi non è specificatamente indicato perché ed in che misura comportano un'incapacità lavorativa in attività sostitutive leggere. In un ulteriore rapporto medico del dott. D._______ - assunto agli atti su richiesta del medico SMR (certo non datato, ma comunque prodotto posteriormente alle menzionate relazioni mediche del novembre 2007 [doc. A 74-1]) - non appare altresì specifico riferimento ad un'affezione cervicale rilevante. Inoltre, i referti delle visite e degli esami cardiaci a cui l'insorgente è stato sottoposto nell'aprile e maggio 2007 (doc. A 79-2 a 79-23) - pure assunti agli atti su richiesta del medico SMR - non apportano alcun elemento medico oggettivo con riferimento ad eventuali patologie cardiache aventi un'incidenza determinante sulla capacità lavorativa del medesimo. Tali documenti indicano in effetti, da un lato, "test ergometrico negativo, non aritmie, normale profilo pressorio" (v. test da sforzo ergometrico dell'8 maggio 2007 [doc. A 79-18]) e, dall'altro, segnalano "costante ritmo sinusale normofrequente con normale variabilità della frequenza cardiaca, disturbi riferiti (dolore arto superiore sinistro) non corrispondono ad alterazioni ST-T né aritmie" (v. esame Holter ECG del 9 maggio 2007 [doc. A 79-11]). In virtù della documentazione in possesso dell'autorità inferiore al momento della pronuncia della decisione impugnata, ben si poteva ritenere conto tenuto delle circostanze del caso di specie, che non vi era necessità d'ulteriori accertamenti d'ufficio dei fatti giuridicamente rilevanti.</w:t>
      </w:r>
    </w:p>
    <w:p>
      <w:r>
        <w:rPr>
          <w:b/>
        </w:rPr>
        <w:t>E. 9.5</w:t>
      </w:r>
    </w:p>
    <w:p>
      <w:r>
        <w:t>In conclusione, questo Tribunale non ritiene esservi motivo di scostarsi nella sostanza dalla valutazione medica di cui alla decisione impugnata, secondo cui lo stato di salute del ricorrente è moderatamente migliorato, ma comunque migliorato, che certo non può più svolgere il lavoro di muratore, ma che a lui sono ragionevolmente proponibili, a metà tempo, attività sostitutive adeguate al suo stato di salute, in lavori leggeri e poco qualificati sia nel settore secondario sia nel settore terziario quali quelli indicati nel rapporto dell'ottobre 2007 del consulente in integrazione professionale (doc. A 64-1).</w:t>
      </w:r>
    </w:p>
    <w:p>
      <w:r>
        <w:rPr>
          <w:b/>
        </w:rPr>
        <w:t>E. 9.6</w:t>
      </w:r>
    </w:p>
    <w:p>
      <w:r>
        <w:t>Basti ancora rilevare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10</w:t>
      </w:r>
    </w:p>
    <w:p>
      <w:r>
        <w:t>Ciò premesso, occorre esaminare la conformità del tasso d'invalidità calcolato dall'autorità inferiore.</w:t>
      </w:r>
    </w:p>
    <w:p>
      <w:r>
        <w:rPr>
          <w:b/>
        </w:rPr>
        <w:t>E. 10.1</w:t>
      </w:r>
    </w:p>
    <w:p>
      <w:r>
        <w:t>Questo Tribunale osserva, con riferimento al calcolo effettuato dall'autorità inferiore per la determinazione del grado d'invalidità, secondo il salario con e senza invalidità come fissati dalla consulente in integrazione professionale nel rapporto finale del 5 ottobre 2007 (cfr. lettera D del presente giudizio), che occorre fare riferimento ai dati del 2008, anno a partire dal quale la rendita d'invalidità del ricorrente è ridotta, e non del 2006.</w:t>
      </w:r>
    </w:p>
    <w:p>
      <w:r>
        <w:rPr>
          <w:b/>
        </w:rPr>
        <w:t>E. 10.2</w:t>
      </w:r>
    </w:p>
    <w:p>
      <w:r>
        <w:t>Quale reddito annuale da valido va considerato il salario conseguibile dal ricorrente come muratore nel 2008 (salario 2003 [secondo le indicazioni del datore di lavoro; doc. A 27-1] indicizzato al 2008 [l'indice dei salari nominali è passato da 2076 nel 2003 a 2219 nel 2008; cfr. statistiche pubblicate dall'Ufficio federale di statistica]), ossia fr. 62'460.--.</w:t>
      </w:r>
    </w:p>
    <w:p>
      <w:r>
        <w:rPr>
          <w:b/>
        </w:rPr>
        <w:t>E. 10.3.1</w:t>
      </w:r>
    </w:p>
    <w:p>
      <w:r>
        <w:t>Per quel che concerne la determinazione del salario da invalido, va fatto riferimento a quello ottenibile dall'insorgente in attività semplici e ripetitive nel 2008 secondo la pertinente tabella TA1 dell'inchiesta svizzera sulla struttura dei salari, tenuto conto di un salario mensile medio nel 2008 di fr. 4'806.-- in virtù di un orario usuale di 41.6 ore settimanali (cfr. statistiche pubblicate dall'Ufficio federale di statistica, ISS 2008), ossia di un salario annuale di fr. 59'979.--.</w:t>
      </w:r>
    </w:p>
    <w:p>
      <w:r>
        <w:rPr>
          <w:b/>
        </w:rPr>
        <w:t>E. 10.3.2</w:t>
      </w:r>
    </w:p>
    <w:p>
      <w:r>
        <w:t>Questo reddito può essere ridotto, al massimo del 25%, per tenere conto dei fattori professionali e personali del caso (DTF 126 V 75). Per giurisprudenza, se e in quale misura i salari fondati su dati statistici debbano essere ridotti dipende dall'insieme delle circostanze personali e professionali del caso concreto (segnatamente limitazione addebitabile al danno alla salute, età, anni di servizio, nazionalità e tipo di permesso di dimora, grado d'occupazione), criteri, questi, che l'amministrazione è tenuta a valutare globalmente, ritenuto che una deduzione massima del 25% del salario statistico permette di tenere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(v. sentenza del Tribunale federale I 871/02 del 20 aprile 2004). A tal proposito, giova rilevare che l'amministrazione, nella decisione impugnata ha ammesso una deduzione del 10% (5% per attività leggera ed un altro 5% per scarsa formazione, attività sempre nello stesso settore e lungo periodo d'inattività). Il ricorrente fa valere che tale riduzione è manifestamente insufficiente, che la stessa non tiene conto, in particolare, del suo grado d'occupazione ridotto, della sua età, nazionalità nonché del permesso di soggiorno, e che si giustifica una deduzione massima del 25%. Questo Tribunale osserva, da un lato, che l'amministrazione stessa, nel suo preavviso del 4 luglio 2008, ha ritenuto potersi operare, tutt'al più, una riduzione supplementare del 5% per attività sostitutiva esercitata dal ricorrente solo a tempo parziale, ma non eventuali ulteriori riduzioni in ragione dell'età dell'insorgente, ancora relativamente giovane (di 43 anni) al momento della pronunciata litigiosa, della sua nazionalità e del permesso di soggiorno. Da una riduzione complessiva del 15% risulterebbe comunque un grado d'invalidità inferiore al 60% (esso si situerebbe al 59,19% sulla base dei valori 2008 [{62'460 - 25'491} x 100 : 62'460]). Dall'altro lato, giova osservare che in casi in cui vi è incapacità lavorativa totale nella professione precedentemente svolta, di regola pesante, e altresì solo parziale in altre professioni sostitutive leggere, il Tribunale federale ha ripetutamente ammesso una riduzione del 20% (v. sentenza del Tribunale federale I 870/05 del 2 maggio 2007 nonché i relativi riferimenti). Secondo questo Tribunale, conto tenuto dell'insieme delle circostanze del caso di specie e della menzionata giurisprudenza del Tribunale federale, il ricorrente si duole a giusta ragione dell'insufficienza di una deduzione compresa tra il 10 ed il 15%. Nel caso concreto, e nonostante l'età del ricorrente non sia ancora molto avanzata, è corretto ed opportuno operare una deduzione del 20% come ripetutamente ritenuto dal Tribunale federale in casi simili a quello in esame. Oltre alla circostanza che il ricorrente ha dichiarato di non avere alcuna formazione (segnatamente ha frequentato solo la scuola elementare; doc. A 20-1), che quest'ultimo durante la sua carriera professionale ha svolto le attività di manovale rispettivamente muratore (doc. A 6-2 e 27-1), che il medesimo non lavora più da 6 anni (ha interrotto il lavoro il 13 settembre 2002; doc. A 27-1), che lo stesso può esercitare solo delle attività leggere e adeguate alle sue condizioni e che può svolgere un'attività sostitutiva solo nella misura del 50% (deduzioni peraltro già ammesse dall'amministrazione nel preavviso del 4 luglio 2008), bisogna pure tenere conto del fatto che, nonostante un moderato miglioramento obiettivo dello stato di salute dell'insorgente, soggettivamente la situazione (dolori) è praticamente invariata, senza che allo stesso possa essere rimproverato di aggravare i suoi disturbi lombari (cfr. perizia reumatologica del 9 luglio 2007 pag. 6). L'insieme delle circostanze precedentemente evocate rende il ricorrente un lavoratore poco attrattivo per un potenziale datore di lavoro, stante le importanti ripercussioni sulle possibilità del ricorrente di mettere a frutto la sua non completa capacità lavorativa residua in attività leggere (cfr., sulla questione, anche la sentenza del Tribunale federale I 645/2000 del 29 marzo 2001 consid. 2d), ciò che giustifica appunto una deduzione del 20% dal salario annuale di riferimento di fr. 59'979.-- (valore dopo la deduzione: fr. 47'983.20), fermo restando che anche da una riduzione di solamente il 17,5% (cfr. sentenza del Tribunale federale I 870/05 del 2 maggio 2007 consid. 9), compresa dunque tra il 15 ed il 20%, discenderebbe un grado d'invalidità del 60% o più che ancora implicherebbe il diritto a tre quarti di rendita.</w:t>
      </w:r>
    </w:p>
    <w:p>
      <w:r>
        <w:rPr>
          <w:b/>
        </w:rPr>
        <w:t>E. 10.3.3</w:t>
      </w:r>
    </w:p>
    <w:p>
      <w:r>
        <w:t>Infine, occorre effettuare una riduzione aggiuntiva del 50% poiché l'insorgente può svolgere un'attività sostitutiva solo nella misura del 50%. Ne risulta un reddito dopo l'insorgenza dell'invalidità di fr. 23'991.60.</w:t>
      </w:r>
    </w:p>
    <w:p>
      <w:r>
        <w:rPr>
          <w:b/>
        </w:rPr>
        <w:t>E. 10.4</w:t>
      </w:r>
    </w:p>
    <w:p>
      <w:r>
        <w:t>Dal confronto fra il reddito da valido di fr. 62'460.-- e quello da invalido di fr. 23'991.60 consegue la determinazione di un grado d'invalidità del 62%, che determina il diritto a tre quarti di rendita dell'assicurazione svizzera per l'invalidità. Il calcolo della perdita di guadagno viene indicato come segue: ([62'460 - 23'991.60] x 100) : 62'460 = 61,58%.</w:t>
      </w:r>
    </w:p>
    <w:p>
      <w:r>
        <w:rPr>
          <w:b/>
        </w:rPr>
        <w:t>E. 10.5</w:t>
      </w:r>
    </w:p>
    <w:p>
      <w:r>
        <w:t>Per conseguenza, il ricorso va parzialmente accolto e l'impugnata decisione del 14 aprile 2008 riformata nel senso che al ricorrente è riconosciuto il diritto a tre quarti di rendita dell'assicurazione svizzera per l'invalidità a decorrere dal 1° giugno del 2008. Gli atti di causa sono pertanto rinviati all'autorità inferiore affinché la stessa proceda al calcolo delle prestazioni ai sensi di legge.</w:t>
      </w:r>
    </w:p>
    <w:p>
      <w:r>
        <w:rPr>
          <w:b/>
        </w:rPr>
        <w:t>E. 11</w:t>
      </w:r>
    </w:p>
    <w:p>
      <w:r>
        <w:t>Con decisione incidentale del 17 luglio 2008, questo Tribunale ha accolto la domanda di assistenza giudiziaria e gratuito patrocinio formulata nel gravame del 19 maggio 2008 (doc. TAF 7).</w:t>
      </w:r>
    </w:p>
    <w:p>
      <w:r>
        <w:rPr>
          <w:b/>
        </w:rPr>
        <w:t>E. 11.1</w:t>
      </w:r>
    </w:p>
    <w:p>
      <w:r>
        <w:t>Visto l'esito della procedura e le circostanze particolari del caso di specie, non sono prelevate delle spese processuali (art. 63 PA in combinazione con l'art. 6 lett. b del regolamento sulle tasse e sulle spese ripetibili nelle cause dinanzi al Tribunale amministrativo federale del 21 febbraio 2008 [TS-TAF, RS 173.320.2]).</w:t>
      </w:r>
    </w:p>
    <w:p>
      <w:r>
        <w:rPr>
          <w:b/>
        </w:rPr>
        <w:t>E. 11.2</w:t>
      </w:r>
    </w:p>
    <w:p>
      <w:r>
        <w:t>Ritenuto che l'insorgente è rappresentato in questa sede da un mandatario professionale, si giustifica altresì l'attribuzione di un'indennità a titolo di spese ripetibili a carico dell'UAIE per la parte del ricorso accolta in questa sede (art. 64 PA in combinazione con gli art. 7 e segg. TS-TAF). La stessa, in assenza di una nota dettagliata, è fissata in fr. 1'400.-- tenuto conto del lavoro utile e necessario svolto dal patrocinatore del ricorrente (art. 14 cpv. 2 TS-TAF). In tale misura, la domanda di gratuito patrocinio è senza oggetto.</w:t>
      </w:r>
    </w:p>
    <w:p>
      <w:r>
        <w:rPr>
          <w:b/>
        </w:rPr>
        <w:t>E. 11.3</w:t>
      </w:r>
    </w:p>
    <w:p>
      <w:r>
        <w:t>La Cassa di questo Tribunale rifonderà al rappresentante del ricorrente la somma complessiva di fr. 700.-- a titolo di gratuito patrocinio per la parte del ricorso respinta in questa sede (e concernente il mantenimento della rendita intera d'invalidità). Il ricorrente è esplicitamente avvertito che ove cessi di essere nel bisogno deve rimborsare l'onorario e le spese d'avvocato all'ente o all'istituto autonomo che li ha pagati (art. 65 cpv. 4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