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C-3268/2009 vom 29. September 2011</w:t>
      </w:r>
    </w:p>
    <w:p>
      <w:r>
        <w:t>Bundesverwaltungsgericht, 2011-09-29, DE</w:t>
      </w:r>
    </w:p>
    <w:p>
      <w:r>
        <w:rPr>
          <w:b/>
        </w:rPr>
        <w:t xml:space="preserve">Quelle: </w:t>
      </w:r>
      <w:r>
        <w:t>https://mcp.opencaselaw.ch/entscheid/bvger_C-3268_2009</w:t>
      </w:r>
    </w:p>
    <w:p>
      <w:r>
        <w:t>FR: TAF C-3268/2009 du 29 septembre 2011</w:t>
      </w:r>
    </w:p>
    <w:p>
      <w:r>
        <w:t>IT: TAF C-3268/2009 del 29 settembre 2011</w:t>
      </w:r>
    </w:p>
    <w:p>
      <w:pPr>
        <w:pStyle w:val="Heading2"/>
      </w:pPr>
      <w:r>
        <w:t>Regeste</w:t>
      </w:r>
    </w:p>
    <w:p>
      <w:r>
        <w:t>(Teil-)Liquidation von Vorsorgeeinrichtungen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w:t>
      </w:r>
    </w:p>
    <w:p>
      <w:r>
        <w:t>Anfechtungsgegenstand des vorliegenden Verfahrens ist die Verfügung der Aufsichtsbehörde BVG und Stiftungsaufsicht des Kantons Basel-Stadt vom 29. April 2009, welche ohne Zweifel eine Verfügung im Sinne von Art. 5 VwVG darstellt. Die Beschwerde gegen diese Verfügung ist frist- und formgerecht eingegangen (Art. 50 und 52 VwVG). Die Beschwerdeführer haben vor der Vorinstanz am Verfahren teilgenommen, sind durch die angefochtene Verfügung besonders berührt, indem ihnen die Zugehörigkeit zum Destinatärskreis der Pensionskasse B._______ in Liq., verweigert worden ist, und haben in diesem Zusammenhang ein schutzwürdiges Interesse an der Änderung oder Aufhebung der angefochtenen Verfügung (Art. 48 VwVG). Damit sind sie zur Beschwerde legitimiert. Nachdem auch der eingeforderte Kostenvorschuss in der gesetzten Frist geleistet wurde,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In verfahrensmässiger Hinsicht rügen die Beschwerdeführer zunächst, die Erstellung des Verteilungsplanes sei nicht Aufgabe der Vorsorgeeinrichtung, sondern der Aufsichtsbehörde.</w:t>
      </w:r>
    </w:p>
    <w:p>
      <w:r>
        <w:rPr>
          <w:b/>
        </w:rPr>
        <w:t>E. 4.2</w:t>
      </w:r>
    </w:p>
    <w:p>
      <w:r>
        <w:t>Die Aufsichtsbehörde BVG hat über die Einhaltung der gesetzlichen, statutarischen und reglementarischen Vorschriften durch die Vorsorgeeinrichtungen sowie die Einrichtungen, die nach ihrem Zweck der beruflichen Vorsorge dienen, zu wachen (Art. 62 Abs. 1 BVG), indem sie insbesondere die Übereinstimmung der reglementarischen Bestimmungen mit den gesetzlichen Vorschriften prüft (lit. a), von den Vorsorgeeinrichtungen und den Einrichtungen, die nach ihrem Zweck der beruflichen Vorsorge dienen,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 Im Rahmen ihrer Aufsichtstätigkeit hat sich die Aufsichtsbehörde auch mit der Gesamtliquidation von Vorsorgeeinrichtungen zu befassen, und zwar indem sie darüber entscheidet, ob die Voraussetzungen und Verfahren eingehalten sind, und indem sie den Verteilungsplan genehmigt (Art. 53c BVG). Zu erstellen ist der Verteilungsplan von der Vorsorgeeinrichtung selbst (Art. 53d Abs. 4 Bst. d BVG).</w:t>
      </w:r>
    </w:p>
    <w:p>
      <w:r>
        <w:rPr>
          <w:b/>
        </w:rPr>
        <w:t>E. 4.3</w:t>
      </w:r>
    </w:p>
    <w:p>
      <w:r>
        <w:t>Im vorliegenden Fall hat die Vorinstanz als zuständige Aufsichtsbehörde mit der hier angefochtenen Verfügung den Verteilungsplan genehmigt, den ihr der Liquidator der Pensionskasse der B._______ in Liq. unterbreitet hat, deren freie Mittel der Sozialfonds derselben Stifterfirma zu verteilen hat. Damit ist das gesetzlich vorgesehene Verfahren und die Zuständigkeitsordnung, wie sie Art. 53c BVG ausdrücklich vorsieht, einwandfrei beachtet worden. Aus diesen Erwägungen kann die Beschwerde - unter Heranziehung der auch vom Beschwerdegegner zu Recht zitierten Gesetzesbestimmung - in diesem Punkt nur abgewiesen werden.</w:t>
      </w:r>
    </w:p>
    <w:p>
      <w:r>
        <w:rPr>
          <w:b/>
        </w:rPr>
        <w:t>E. 5.1</w:t>
      </w:r>
    </w:p>
    <w:p>
      <w:r>
        <w:t>Eine weitere formelle Rüge der Beschwerdeführer betrifft das rechtliche Gehör. So sind sie der Ansicht, dass nicht nur die vom Beschwerdegegner bezeichneten Destinatäre, sondern alle früheren Mitarbeiter der Stifterfirma (mindestens auf 15 Jahre zurück), die bei der Pensionskasse resp. dem Sozialfonds versichert waren, persönlich hätten vom Liquidator über die Verteilung der freien Mittel informiert werden sollen, zusätzlich zu einer Publikation im Amtsblatt des Kantons Basel-Stadt. Nur so wäre das rechtliche Gehör gewährleistet worden.</w:t>
      </w:r>
    </w:p>
    <w:p>
      <w:r>
        <w:rPr>
          <w:b/>
        </w:rPr>
        <w:t>E. 5.2</w:t>
      </w:r>
    </w:p>
    <w:p>
      <w:r>
        <w:t>Gemäss Art. 29 Abs. 2 der Bundesverfassung (BV; SR 101) und Art. 29 in Verbindung mit Art. 30 Abs. 1 VwVG haben die Parteien Anspruch auf rechtliches Gehör (zu dessen Inhalt vgl. BGE 135 I 279 E. 2.3 S. 282; 135 II 286 E. 5.1 S. 293; 132 V 368 E. 3.1 S. 370 mit Hinweisen). Der Anspruch auf vorgängige Anhörung (Art. 30 Abs. 1 VwVG) beinhaltet insbesondere, dass eine Behörde sich beim Erlass ihrer Verfügung nicht auf Tatsachen abstützen darf, zu denen der von der Verfügung Betroffene sich nicht vorgängig äussern konnte.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Rechtstellung eingreifenden Entscheids zur Sache zu äussern, erhebliche Beweismittel beizubringen, Einsicht in die Akten zu nehmen, mit erheblichen Beweisanträgen gehört zu werden und an der Erhebung wesentlicher Beweismittel entweder mitzuwirken oder sich zumindest zum Beweisergebnis zu äussern, wenn dieses geeignet ist, den Entscheid zu beeinflussen (BGE 127 I 56 E. 2b, 127 III 578 E. 2c, 126 V 130 E. 2a).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(Urteil des BGer 8C_254/2011 vom 7. Juli 2011 E. 4.1; BGE 132 V 387 E. 5.1 S. 390; 127 V 431 E. 3d/aa S. 437).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135 I 279 E. 2.6.1 S. 285).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BGer 8C_254/2011 vom 7. Juli 2011 E. 4.1; BGE 132 V 387 E. 5.1 S. 390 mit Hinweis).</w:t>
      </w:r>
    </w:p>
    <w:p>
      <w:r>
        <w:rPr>
          <w:b/>
        </w:rPr>
        <w:t>E. 5.3</w:t>
      </w:r>
    </w:p>
    <w:p>
      <w:r>
        <w:t>Vorliegend haben die Beschwerdeführer noch vor Eröffnung des eigentlichen Verwaltungsverfahrens vor der Vorinstanz beim Liquidator des Beschwerdegegners im Mai 2008 Einsprachen gegen ihre Nichtberücksichtigung im Kreise der Destinatäre erhoben, auf die der Liquidator eingetreten ist, die er nach Prüfung abgewiesen und dann mit dem Antrag auf Genehmigung des Verteilungsplanes der Vorinstanz weitergeleitet hat. Die Vorinstanz hat die Einsprachen der vier Beschwerdeführer allesamt behandelt, nachdem ihr Vertreter mit Schreiben vom 1. November 2008 nochmals sinngemäss bestätigte hatte, dass sie an der Einsprache festhalten würden (act. 12/11). Die Vorinstanz wies die Einsprachen der Beschwerdeführer im Wesentlichen mit der Begründung ab, dass sie ihre Destinatärseigenschaft mindestens 5 Jahre vor dem Stichtag für die Liquidation aufgegeben hätten. Ab dem Zeitpunkt also, als die Beschwerdeführer beim Liquidator infolge der Vorlegung des Verteilungsplanes eine Einsprache eingereicht haben, ist bis und mit Abschluss des vorinstanzlichen Verfahrens in keiner Phase eine Verletzung des rechtlichen Gehörs zu erkennen. Dazu kommt, dass die Mitteilung des Liquidators über den Verteilungsplan, die er den Destinatären gesetzesgemäss (vgl. Art. 53d Abs. 5 BVG) zugestellt hatte, auch noch in den Amtsblättern dreier Kantone (BS, BL und SO) publiziert worden ist (act. 10/I der Vorinstanz). Dadurch, dass die Beschwerdeführer nicht persönlich durch den Liquidator informiert worden sind, wurde das rechtliche Gehör im Lichte dieser Erwägungen nicht verletzt. Damit ist auch diese formelle Rüge vollumfänglich abzuweisen.</w:t>
      </w:r>
    </w:p>
    <w:p>
      <w:r>
        <w:rPr>
          <w:b/>
        </w:rPr>
        <w:t>E. 6.1</w:t>
      </w:r>
    </w:p>
    <w:p>
      <w:r>
        <w:t>Die Beschwerdeführer rügen in materieller Hinsicht ihre Nichtaufnahme in den Kreis der Destinatäre (oder Begünstigten), an welche die freien Mittel der Pensionskasse im Rahmen der beschlossenen Gesamtliquidation verteilt werden sollen. Damit wenden sie sich insbesondere gegen den vom Beschwerdegegner gewählten Stichtag für die Liquidation per 1. Juli 2005, den sie um rund 15 Jahre zurückversetzen wollen mit dem Argument, dass die freien Mittel auch dank ihren jahrelang eingezahlten Beiträgen geäufnet worden seien. Demgegenüber macht der Beschwerdegegner geltend, dass die zu verteilenden freien Mittel von Fr. 22 Mio einerseits von einer Vorsorgeeinrichtung für das Verwaltungspersonal herstammen würden (rund Fr. 9 Mio) und andererseits auf aufgelöste Reserven und Rückstellungen sowie Kursgewinnen auf Wertschriften und Buchgewinnen auf Liegenschaften im Jahre 2006 (rund Fr. 13 Mio) zurückzuführen seien. Darüber hinaus seien die Beschwerdeführer seit mindestens 6 Jahren weder Aktive noch Rentner der Pensionskasse und somit keine Destinatäre mehr. Schliesslich sei der wirtschaftliche Grund für die Liquidation erst im Jahre 2005 eingetreten, so dass die Beschwerdeführer, welche viel früher altershalber oder freiwillig von der Stifterfirma ausgetreten seien, davon nicht betroffen sein könnten.</w:t>
      </w:r>
    </w:p>
    <w:p>
      <w:r>
        <w:rPr>
          <w:b/>
        </w:rPr>
        <w:t>E. 6.2</w:t>
      </w:r>
    </w:p>
    <w:p>
      <w:r>
        <w:t>Vorliegend wurde die Gesamtliquidation auf den Stichtag des 1. Juli 2005 beschlossen. Anwendbar sind deshalb die per 1. Januar 2005 in Kraft getretenen Bestimmungen der 1. BVG-Revision, insbesondere diejenigen über die Teil- und Gesamtliquidation von Vorsorgeeinrichtungen, so auch Art. 53c BVG. Gemäss dieser Bestimmung obliegt es bei Gesamtliquidationen wie gesagt der Aufsichtsbehörde selbst, den Verteilungsplan zu genehmigen, dies im Unterschied zur Teilliquidation, bei welcher nach dem Teilliquidationsreglement vorzugehen ist (Art. 53b BVG).</w:t>
      </w:r>
    </w:p>
    <w:p>
      <w:r>
        <w:rPr>
          <w:b/>
        </w:rPr>
        <w:t>E. 6.3</w:t>
      </w:r>
    </w:p>
    <w:p>
      <w:r>
        <w:t>Als Kriterien für die Genehmigung des Verteilungsplanes können diejenigen herangezogen werden, die in Art. 53d BVG festgehalten sind, insbesondere der Grundsatz, wonach das Vermögen dem Personal zu folgen hat, und der Grundsatz der Gleichbehandlung (Ueli Kieser in: Jacques-André Schneider/Thomas Geiser/Thomas Gächter (Hrsg.), Handkommentar zum BVG und FZG, Art. 53c, N 18). Dem Stiftungsrat steht bei der Festlegung der objektiven Kriterien unter Berücksichtigung des Stiftungszwecks, der Grundsätze der Verhältnismässigkeit, der Gleichbehandlung und des guten Glaubens (vgl. bereits nach dem Recht vor der 1. BVG-Revision BGE 119 Ib 46 E. 4, Kurt Schweizer, Rechtliche Grundlagen der Anwartschaft auf eine Stiftungsleistung in der beruflichen Vorsorge, Zürich 1985, S. 106-120; Ruggli/Stohler, Umstrukturierung in der Wirtschaft und ihre Auswirkungen auf die berufliche Vorsorge, BJM 2000 S. 124 ff.; Jacques-André Schneider, Fonds libres et liquidations de caisses de pensions, SZS 2001 S. 471 f.) ein grosser Ermessensspielraum zu, in welchen die Aufsichtsbehörde nicht eingreifen kann. Der ab dem 1. Januar 2005 geltende Art. 53d Abs. 1 BVG, wonach die Liquidation der Vorsorgeeinrichtung unter Berücksichtigung des Gleichbehandlungsgrundsatzes und nach fachlich anerkannten Grundsätzen durchgeführt werden muss, bekräftigt diese bisherige Praxis und Rechtsprechung. Danach hat die Aufsichtsbehörde den Verteilungsplan auf diese Kriterien hin zu überprüfen und zu genehmigen und darf nicht ihr eigenes Ermessen anstelle desjenigen des Stiftungsrates setzen. Sie kann nur einschreiten, wenn der Entscheid des Stiftungsrates unhaltbar ist, weil er auf sachfremden Kriterien beruht oder einschlägige Kriterien ausser Acht lässt (vgl. BGE 131 II 514 E. 5, BGE 128 II 394 E. 3.3, BGE 108 II 497 E. 5, 101Ib 235 E. 2; SVR 2001, BVG Nr. 14; Isabelle Vetter-Schreiber, Berufliche Vorsorge, Kommentar, Zürich 2009, BVG 53b N 21).</w:t>
      </w:r>
    </w:p>
    <w:p>
      <w:r>
        <w:rPr>
          <w:b/>
        </w:rPr>
        <w:t>E. 6.4.1</w:t>
      </w:r>
    </w:p>
    <w:p>
      <w:r>
        <w:t>Die Verteilung der freien Mittel hat also nach objektiven Kriterien zu erfolgen. Die Auswahl und Gewichtung der Verteilkriterien richten sich nach den oben erwähnten Grundsätzen, insbesondere dem Grundsatz der Gleichbehandlung der Destinatäre. Soweit dies überhaupt möglich ist, sollte bei der Festlegung und Gewichtung der Verteilungskriterien die Herkunft der freien Mittel und der Zeitpunkt ihrer Äufnung berücksichtigt werden (BGE 128 II 394 E. 4.4). Die einzelnen Verteilkriterien wie Alter, Dienstjahre, Lohnhöhe und Deckungskapital bzw. Sparguthaben sind vor der 1. BVG-Revision hauptsächlich im Zusammenhang mit Teilliquidationen von der Praxis (vgl. etwa die BSV-Richtlinien vom 19. Oktober 1992 in: SZS 1993 S. 306 ff.) und von der Rechtsprechung entwickelt bzw. bestätigt worden (BGE 128 II 394 E. 4).</w:t>
      </w:r>
    </w:p>
    <w:p>
      <w:r>
        <w:rPr>
          <w:b/>
        </w:rPr>
        <w:t>E. 6.4.2</w:t>
      </w:r>
    </w:p>
    <w:p>
      <w:r>
        <w:t>Auch ehemalige Mitarbeitende der Stifterfirma können bei der Verteilung von freien Mittel berücksichtigt werden, nämlich zum einen solche, welche eine Rente beziehen (Alters-, Invaliden- oder Hinterlassenenrente, vgl. Urteil des BGer 9C_421/2009 vom 29. September 2009 E. 6.4 mit Hinweisen; Urteil der BVG-Beschwerdekommission vom 7. Februar 2003 E. 6b, in SVR 2004 BVG Nr. 11; Ueli Kieser in: Jacques-André Schneider/Thomas Geiser/Thomas Gächter (Hrsg.), Handkommentar zum BVG und FZG, Art. 53c, N 18; Isabelle Vetter-Schreiber, a.a.O., BVG 53d N 5), aber auch solche, welche unfreiwillig aus der Stifterfirma im Rahmen eines sogenannten schleichenden Personalabbaus ausgeschieden sind, der eine (Teil-)liquidation ausgelöst hat. Dabei sind die Fälle zu berücksichtigen, bei welchen diesen Mitarbeitern gekündigt worden ist oder bei welchen sie sich aus berechtigter Angst um einen Arbeitsplatz frühzeitig um eine neue Stelle bemüht haben. Demgegenüber sind freiwillige, individuelle Austritte ohne Zusammenhang mit dem wirtschaftlichen Ereignis nicht zu berücksichtigen, da sonst die gesetzlichen Bestimmungen über die Freizügigkeit und die reglementarischen Bestimmungen über die statutarischen Austrittsleistungen ihren Sinn verlieren würden (BVGE C-2435/2006 vom 8. August 2008 E. 4.3.2, C-2365/2006 vom 19. Februar 2008 E. 5.4, Urteil des BGer 2A.48/2003 vom 26. Juni 2003, BGE 133 V 607 E. 4.2.2, BGE 128 II 394 E. 5.5 und 5.6, Isabelle Vetter-Schreiber, a.a.O., BVG 53b N 8, 10 und 11). Bei der Festsetzung des Stichdatums im Falles eines schleichenden Personalabbaus ist laut Lehre und Rechtsprechung in der Regel ein Zeitraum von maximal drei Jahren zu berücksichtigen (Isabelle Vetter-Schreiber, a.a.O., BVG 53b N 12). Damit liegt es in der Natur der Sache, dass die geäufneten Mittel nicht absolut für all jene (ehemaligen) Versicherten verwendet werden können, die an deren Äufnung beteiligt waren.</w:t>
      </w:r>
    </w:p>
    <w:p>
      <w:r>
        <w:rPr>
          <w:b/>
        </w:rPr>
        <w:t>E. 6.4.3</w:t>
      </w:r>
    </w:p>
    <w:p>
      <w:r>
        <w:t>Bei Gesamtliquidationen können ebenso (in der Regel in den letzten 3 bis 5 Jahren) ausgeschiedene Arbeitnehmer in den Verteilungsplan einbezogen werden, sofern ihr Austritt unfreiwillig erfolgt ist (BGE 128 II 394 E. 6.4 und 6.5, Isabelle Vetter-Schreiber, a.a.O., BVG 53d N 3). Auch rentenberechtigte Personen sind im Rahmen einer Gesamtliquidation mit zu berücksichtigen (Isabelle Vetter-Schreiber, a.a.O., BVG 53d N 5).</w:t>
      </w:r>
    </w:p>
    <w:p>
      <w:r>
        <w:rPr>
          <w:b/>
        </w:rPr>
        <w:t>E. 7.1</w:t>
      </w:r>
    </w:p>
    <w:p>
      <w:r>
        <w:t>Im vorliegenden Fall hat der Beschwerdegegner, der die freien Mittel der Pensionskasse zu verteilen hat, den Stichtag für die Liquidation auf den 1. Juli 2005 festgelegt, weil der im Sommer 2005 gefällte Entscheid des Verwaltungsrats, die Stifterfirma zu sanieren, nicht absehbar gewesen sei. Bis ins Jahr 2006 sei die Anzahl Angestellten stabil gewesen. Von einem schleichenden Personalabbau könne nicht die Rede sein.</w:t>
      </w:r>
    </w:p>
    <w:p>
      <w:r>
        <w:rPr>
          <w:b/>
        </w:rPr>
        <w:t>E. 7.2</w:t>
      </w:r>
    </w:p>
    <w:p>
      <w:r>
        <w:t>Die Begründung für die Festlegung des Stichtages ist nachvollziehbar. Die Stiftungsorgane haben damit ihr weites Ermessen weder missbraucht noch überschritten, auch wenn der Zeitraum etwas kürzer angesetzt wurde als in der Praxis üblich (3 Jahre); allerdings wie gesagt aus stichhaltigen Überlegungen, zumal die wirtschaftlichen Umstände, die zu einer Liquidation Anlass geben, regelmässig entscheidend sind.</w:t>
      </w:r>
    </w:p>
    <w:p>
      <w:r>
        <w:rPr>
          <w:b/>
        </w:rPr>
        <w:t>E. 7.3</w:t>
      </w:r>
    </w:p>
    <w:p>
      <w:r>
        <w:t>Betrachtet man nun die persönliche Situation der vier Beschwerdeführer, so ist offensichtlich, dass sie allesamt lange vor dem gewählten Stichtag aus der Pensionskasse ausgeschieden sind, sei es freiwillig als Aktive (X._______ und S._______ je im Jahre 1997; ev., was den Letztgenannten betrifft, spätestens im Jahre 1998), sei es altershalber und mit unwiderruflichem Bezug einer Kapitalabfindung (Y._______ im Jahre 1991 und Z._______ im Jahre 1999), womit ihre Ansprüche und Anwartschaften gegenüber der Pensionskasse seit mehreren Jahren erloschen sind (Hans Michael Riemer/Gabriela Riemer-Kafka, Das Recht der beruflichen Vorsorge in der Schweiz, 2. Auflage, Bern 2006, &amp;7 N 7, die sich allerdings über den konkreten Fall der Verteilung freier Mittel an "Kapitalbezüger" nicht äussern). Damit fallen sie allesamt nicht in den Kreis der Begünstigten im Rahmen der zur Frage stehenden Gesamtliquidation. Daran ändert die besondere Konstellation im Falle von X._______ nichts (vgl. act. 22), dem die Freizügigkeitsleistung während über 13 Jahren wegen einer zivilen Streitigkeit durch das Zivilgericht Basel-Stadt gesperrt wurde und erst im Herbst 2010 ausgezahlt werden konnte. Erst nach seinem Austritt aus der Stifterfirma erlitt er einen gesundheitlichen Schaden und bezieht seit August 1999 eine Invalidenrente von einer anderen Vorsorgeeinrichtung. Aus diesen Erwägungen folgt, dass die Beschwerde vollumfänglich abzuweisen ist.</w:t>
      </w:r>
    </w:p>
    <w:p>
      <w:r>
        <w:rPr>
          <w:b/>
        </w:rPr>
        <w:t>E. 8.1</w:t>
      </w:r>
    </w:p>
    <w:p>
      <w:r>
        <w:t>Entsprechend dem Ausgang des Verfahrens werden der Beschwerdeführer gemäss Art. 63 Abs. 1 VwVG kostenpflichtig. Die Verfahrenskosten sind gemäss dem Reglement vom 21. Februar 2008 über die Kosten und Entschädigungen vor dem Bundesverwaltungsgericht (VGKE, SR 173.320.2) zu bestimmen. Sie werden auf Fr. 2'500.-- festgelegt.</w:t>
      </w:r>
    </w:p>
    <w:p>
      <w:r>
        <w:rPr>
          <w:b/>
        </w:rPr>
        <w:t>E. 8.2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Dasselbe gilt für den Beschwerdegegner; denn das Eidgenössisches Versicherungsgericht hat mit Urteil vom 3. April 2000 erwogen, dass Trägerinnen oder Versicherer der beruflichen Vorsorge grundsätzlich keinen Anspruch auf Parteientschädigung haben (BGE 126 V 149 E. 4), eine Praxis, welche das Bundesverwaltungsgericht in ständiger Rechtsprechung auch im Rahmen von Aufsichtsstreitigkeiten analog angewandt hat (Urteile C-5462/2008; C-2795/2009 vom 11. April 2011 E. 8.2 und C-5218/2009 vom 29. Oktober 2010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