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C-3267/2009 vom 14. März 2012</w:t>
      </w:r>
    </w:p>
    <w:p>
      <w:r>
        <w:t>Bundesverwaltungsgericht, 2012-03-14, DE</w:t>
      </w:r>
    </w:p>
    <w:p>
      <w:r>
        <w:rPr>
          <w:b/>
        </w:rPr>
        <w:t xml:space="preserve">Quelle: </w:t>
      </w:r>
      <w:r>
        <w:t>https://mcp.opencaselaw.ch/entscheid/bvger_C-3267_2009</w:t>
      </w:r>
    </w:p>
    <w:p>
      <w:r>
        <w:t>FR: TAF C-3267/2009 du 14 mars 2012</w:t>
      </w:r>
    </w:p>
    <w:p>
      <w:r>
        <w:t>IT: TAF C-3267/2009 del 14 marzo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Hinweisen).</w:t>
      </w:r>
    </w:p>
    <w:p>
      <w:r>
        <w:rPr>
          <w:b/>
        </w:rPr>
        <w:t>E. 3.1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 (vgl. zum Ganzen: Urteil des Bundesverwaltungsgerichts C 7179/2008 vom 21. Dezember 2010).</w:t>
      </w:r>
    </w:p>
    <w:p>
      <w:r>
        <w:rPr>
          <w:b/>
        </w:rPr>
        <w:t>E. 3.2</w:t>
      </w:r>
    </w:p>
    <w:p>
      <w:r>
        <w:t>Der 2. Abschnitt des 5. Kapitels des Asylgesetzes in seiner Fassung vom 26. Juni 1998, die bis 31. Dezember 2007 in Geltung stand (AS 1999 2262; nachfolgend AsylG [1998]), regelt die Rückerstattungs- und Sicherheitsleistungspflicht von Personen, die sich gestützt auf das Asylgesetz in der Schweiz aufhalten. Gemäss Art. 85 Abs. 1 AsylG (1998) haben sie - soweit zumutbar - die Kosten der Fürsorge, der Ausreise und des Vollzugs sowie die Kosten des Rechtsmittelverfahrens zurückzuerstatten. Asylsuchende und Schutzbedürftige ohne Aufenthaltsbewilligung sind gemäss Art. 86 AsylG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vom 11. August 1999 über Finanzierungsfragen in ihrer ursprünglichen, bis 31. Dezember 2007 geltenden Fassung (AS 1999 2318; nachfolgend: AsylV 2 [1999])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3.3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die im Wesentlichen unter denselben Voraussetzungen vorgenommen werden kann, wie im alten Recht. Allerdings kommt es auch hier nicht zu einer Verrechnung mit individuell verrechenbaren Kosten.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3.4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3.5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AsylG) und für vorläufig Aufgenommene (Art. 126a Abs. 1 bis 3 AuG) parallel geregelt. Es gilt der Grundsatz, dass das neue Recht sofort zur Anwendung gelangt (Abs. 1 der Übergangsbestimmungen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AsylG, Art. 126a Abs. 2 AuG).</w:t>
      </w:r>
    </w:p>
    <w:p>
      <w:r>
        <w:rPr>
          <w:b/>
        </w:rPr>
        <w:t>E. 3.6</w:t>
      </w:r>
    </w:p>
    <w:p>
      <w:r>
        <w:t>Die Übergangsbestimmungen zur am 24. Oktober 2007 beschlossenen Änderung der Asylverordnung 2 (nachfolgend: Übergangsbestimmungen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werden.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4</w:t>
      </w:r>
    </w:p>
    <w:p>
      <w:r>
        <w:t>Die vorliegende Streitsache beschlägt die Überführung des alten Sicherheitsleistungssystems mit individueller Abrechnung über zurechenbare Kosten in das neue System der Sonderabgabe. Die Beschwerdeführerin äufnete noch unter der Geltung des alten Rechts ihr Sicherheitskonto mit Lohnabzügen. Beim Statuswechsel zur vorläufigen Aufnahme wurde für ihr Sicherheitskonto eine Zwischenabrechnung erstellt. Zu einer Schlussabrechnung vor dem 1. Januar 2008 kam es mangels Verwirklichung eines Schlussabrechnungsgrundes indes nicht. Die Vorinstanz sah die Beschwerdeführerin nach Massgabe der Übergangsbestimmungen des Art. 126a Abs. 1 bis 3 AuG dem neuen Recht unterstellt und löste das Sicherheitskonto in Anwendung von Abs. 6 bis 8 der Übergangsbestimmungen zur Änderung der AsylV 2 sowie der allgemeinen Bestimmungen über die Sonderabgabepflicht auf. Sie zog das Guthaben des Sicherheitskontos von Fr 13'942.85 zur Deckung der Sonderabgabe im Betrag von Fr. 15'000.00 ein und bestimmte im Übrigen, dass der Negativsaldo von Fr. 1'057.15 später nur noch bei Vermögensanfall, der nicht aus dem Erwerbseinkommen stamme, eingezogen werden könne. Ansonsten erklärte die Vorinstanz die Sonderabgabepflicht der Beschwerdeführerin als dahingefallen, da die zeitliche Begrenzung von drei Jahren seit der vorläufigen Aufnahme erfüllt sei.</w:t>
      </w:r>
    </w:p>
    <w:p>
      <w:r>
        <w:rPr>
          <w:b/>
        </w:rPr>
        <w:t>E. 5</w:t>
      </w:r>
    </w:p>
    <w:p>
      <w:r>
        <w:t>Die Beschwerdeführerin hält dieses Vorgehen aus mehreren Gründen für rechtsfehlerhaft.</w:t>
      </w:r>
    </w:p>
    <w:p>
      <w:r>
        <w:rPr>
          <w:b/>
        </w:rPr>
        <w:t>E. 5.1</w:t>
      </w:r>
    </w:p>
    <w:p>
      <w:r>
        <w:t>Soweit die Beschwerdeführerin geltend macht, sie habe nie wirtschaftliche Sozialhilfe in Anspruch genommen, und in der Unterwerfung unter die Sonderabgabe eine Verletzung des Rückwirkungsverbots sowie des Grundsatzes von Treu und Glauben beanstandet, ist sie zunächst darauf hinzuweisen, dass die neurechtliche Sonderabgabepflicht unabhängig davon geschuldet wird, ob der Pflichtige jemals rückerstattungspflichtige Kosten verursacht hat. Sie dient nicht der Deckung vom Pflichtigen individuell verursachter Kosten, sondern der Gesamtkosten, welche die Gesamtheit der erwerbstätigen Asylsuchenden, der Schutzbedürftigen ohne Aufenthaltsbewilligung und der vorläufig Aufgenommenen unter Einschluss der von den genannten Personen unterstützten Angehörigen verursacht hat. Darauf wurde bereits weiter oben hingewiesen (E. 3.4). Im Übrigen hat sich das Bundesverwaltungsgericht in einem Grundsatzurteil mit der Sonderabgabe sowie den Übergangsbestimmungen befasst - namentlich auch unter dem Gesichtspunkt einer echten belastenden Rückwirkung - und festgestellt, dass dem Regelungsgefüge gestützt auf Art. 190 der Bundesverfassung der Schweizerischen Eidgenossenschaft vom 18. April 1999 (BV, SR 101) die Anwendung nicht versagt werden darf (Urteil des Bundesverwaltungsgerichts C-7179/2008 vom 21. Dezember 2010 E. 3 und 6). Dem bleibt nichts anzufügen.</w:t>
      </w:r>
    </w:p>
    <w:p>
      <w:r>
        <w:rPr>
          <w:b/>
        </w:rPr>
        <w:t>E. 5.2</w:t>
      </w:r>
    </w:p>
    <w:p>
      <w:r>
        <w:t>Die Beschwerdeführerin beruft sich sodann auf Art. 126a Abs. 1 AuG, der vorsehe, dass die Zwischen- oder Schlussabrechnung und die Saldierung des Kontos nach bisherigem Recht zu erfolgen hätten, wenn vor der Änderung vom 16. Dezember 2005 des Asylgesetzes ein Zwischen- oder Schlussabrechnungsgrund nach Art. 87 AsylG (1998) entstanden sei. Im vorliegenden Fall aber sei die Zwischenabrechnung über das Sicherheitskonto bereits am 6. Juli 2004 erfolgt. Folglich sei das Sicherheitskonto grundsätzlich nach dem bisherigen/alten Recht zu beurteilen und entsprechend zu saldieren. Die Beschwerdeführerin argumentiert weiter, dass Art. 126a Abs. 2 AuG den Bundesrat ermächtige ein Abrechnungsverfahren für diejenigen Fälle auszugestalten, bei denen die Zwischenabrechnung, jedoch noch nicht die Schlussabrechnung erfolgt sei. Dieses Abrechnungsverfahren habe sich, wie in Art. 126a Abs. 1 AuG klar festgelegt, nach dem bisherigen/alten Recht zu orientieren. Das sei im vorliegenden Fall offensichtlich nicht geschehen. Die Ausgestaltung des Abrechnungsverfahrens sei folglich als nicht rechtmässig zu beurteilen, weshalb für die verfügte Vereinnahmung eine genügende Rechtsgrundlage fehle.</w:t>
      </w:r>
    </w:p>
    <w:p>
      <w:r>
        <w:rPr>
          <w:b/>
        </w:rPr>
        <w:t>E. 5.3</w:t>
      </w:r>
    </w:p>
    <w:p>
      <w:r>
        <w:t>Dem ist entgegenzuhalten, dass sich Art. 126a Abs. 1 AuG entsprechend seinem Sinn und Zweck als intertemporale Kollisionsnorm ausschliesslich auf Sachverhalte bezieht, in denen zum Zeitpunkt des Inkrafttretens des neuen Rechts wohl ein Zwischen- bzw. Schlussabrechnungsgrund vorliegt, jedoch keine rechtkräftige Zwischen- bzw. Schlussabrechnung vorgenommen wurde (vgl. Urteil des Bundesverwaltungsgerichts C-2833/2009 vom 16. Januar 2012 E. 6.2.1). In casu erfolgte eine rechtkräftige Zwischenabrechnung bereits im Jahr 2004, sodass sich die Beschwerdeführerin zum vornherein nicht auf Art. 126a Abs. 1 AuG berufen kann. Die Nachwirkung des alten Rechts hätte im Übrigen keine Auflösung des Sicherheitskontos auf der Grundlage individuell zurechenbarer Kosten zur Folge, wie die Beschwerdeführerin annimmt. Denn das alte Recht sah eine solche Rechtsfolge erst im Rahmen der Schlussabrechnung vor. Die Zwischenabrechnung müsste sich darauf beschränken, die Höhe der nach altem Recht rückerstattungspflichtigen Kosten zum Zeitpunkt des Statuswechsels zur vorläufigen Aufnahme zu ermitteln und zu deren Deckung eine Überweisung vom Sicherheitskonto anzuordnen. Das Sicherheitskonto und ein allfälliges nicht zur Deckung der ermittelten Kosten benötigtes Guthaben blieben bestehen (vgl. oben E. 3.2).</w:t>
      </w:r>
    </w:p>
    <w:p>
      <w:r>
        <w:rPr>
          <w:b/>
        </w:rPr>
        <w:t>E. 5.4</w:t>
      </w:r>
    </w:p>
    <w:p>
      <w:r>
        <w:t>Wie der im Rahmen der Zwischenabrechnung ermittelte Betrag aus der Zwischenabrechnung übergangsrechtlich zu behandeln ist, dazu äussert sich Art. 126a Abs. 1 AuG nicht. Die Antwort auf diese Frage muss dem übrigen Recht entnommen werden, nämlich Abs. 7 und 8 der Übergangsbestimmungen AsylV 2, die gestützt auf Art. 126a Abs. 2 AuG erlassen wurden. Die Übergangsbestimmungen der AsylV 2 machen keinen Unterschied, ob zum Zeitpunkt des Inkrafttretens der Rechtsänderung eine rechtkräftige Zwischenabrechnung vorlag oder nicht, sondern sehen in beiden Fällen die volle Anrechnung von Sicherheiten und Rückerstattungen aus der Zwischenabrechnung an die Sonderabgabepflicht sowie eine Rückzahlung an den Kontoinhaber bzw. Anrechnung an die Sonderabgabepflicht seines Ehegatten vor, soweit die Sicherheiten und Rückerstattungen den Maximalbetrag von Fr. 15'000.00 übersteigen (vgl. Urteil des Bundesverwaltungsgerichts C-2833/2009 vom 16. Januar 2012 E. 6.3 und 6.4). Die übergangrechtliche Ordnung der AsylV 2 nimmt daher Art. 126a Abs. 1 AuG, soweit dieser auf die Zwischenabrechnung Bezug nimmt, jede praktische Relevanz, weshalb auf die nachträgliche Durchführung einer solchen mit Fug verzichtet werden kann. Darauf wurde bereits weiter oben kurz hingewiesen.</w:t>
      </w:r>
    </w:p>
    <w:p>
      <w:r>
        <w:rPr>
          <w:b/>
        </w:rPr>
        <w:t>E. 6</w:t>
      </w:r>
    </w:p>
    <w:p>
      <w:r>
        <w:t>Andere Umstände, welche die Rechtmässigkeit der Abrechnung über das Sicherheitskonto der Beschwerdeführerin in Frage stellen könnten, werden nicht geltend gemacht und sind auch nicht ersichtlich. Die angefochtene Verfügung ist daher im Lichte von Art. 49 VwVG nicht zu beanstanden und die Beschwerde abzuweisen.</w:t>
      </w:r>
    </w:p>
    <w:p>
      <w:r>
        <w:rPr>
          <w:b/>
        </w:rPr>
        <w:t>E. 7</w:t>
      </w:r>
    </w:p>
    <w:p>
      <w:r>
        <w:t>Dem Ausgang des Verfahrens entsprechend wird die Beschwerdeführerin kostenpflichtig (Art. 63 Abs. 1 VwVG). Die Verfahrenskosten sind auf Fr. 700.- festzusetzen (Art. 1, Art. 2 und Art. 4 des Reglements vom 21. Februar 2008 über die Kosten und Entschädigungen vor dem Bundesverwaltungsgericht [VGKE, SR 173.320.2]).</w:t>
      </w:r>
    </w:p>
    <w:p>
      <w:r>
        <w:rPr>
          <w:b/>
        </w:rPr>
        <w:t>E. 8</w:t>
      </w:r>
    </w:p>
    <w:p>
      <w:r>
        <w:t>Das vorliegende Urteil ist endgültig (Art. 83 Bst. c Ziff. 3 und Bst. d Ziff. 1 des Bundesgerichtsgesetzes vom 17. Juni 2005 [BGG, SR 173.110]).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