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C-3266/2011 vom 2. März 2012</w:t>
      </w:r>
    </w:p>
    <w:p>
      <w:r>
        <w:t>Bundesverwaltungsgericht, 2012-03-02, DE</w:t>
      </w:r>
    </w:p>
    <w:p>
      <w:r>
        <w:rPr>
          <w:b/>
        </w:rPr>
        <w:t xml:space="preserve">Quelle: </w:t>
      </w:r>
      <w:r>
        <w:t>https://mcp.opencaselaw.ch/entscheid/bvger_C-3266_2011</w:t>
      </w:r>
    </w:p>
    <w:p>
      <w:r>
        <w:t>FR: TAF C-3266/2011 du 2 mars 2012</w:t>
      </w:r>
    </w:p>
    <w:p>
      <w:r>
        <w:t>IT: TAF C-3266/2011 del 2 marzo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sowie Urteil des Bundesverwaltungsgerichts C-2482/2009 vom 28. Januar 2011 E. 6.2. in fine).</w:t>
      </w:r>
    </w:p>
    <w:p>
      <w:r>
        <w:rPr>
          <w:b/>
        </w:rPr>
        <w:t>E. 4.2</w:t>
      </w:r>
    </w:p>
    <w:p>
      <w:r>
        <w:t>Die öffentliche Sicherheit und Ordnung im Sinne von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(siehe Botschaft zum Bundesgesetz über die Ausländerinnen und Ausländer vom 8. März 2002, BBl 2002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für vergangenes Fehlverhalten, sondern als Massnahme zur Abwendung künftiger Störungen der öffentlichen Sicherheit und Ordnung (vgl. Botschaft, a.a.O., 3813).</w:t>
      </w:r>
    </w:p>
    <w:p>
      <w:r>
        <w:rPr>
          <w:b/>
        </w:rPr>
        <w:t>E. 5.1</w:t>
      </w:r>
    </w:p>
    <w:p>
      <w:r>
        <w:t>Sofern sie keiner Erwerbstätigkeit nachgehen, benötigen Auslän-derinnen und Ausländer für einen Aufenthalt in der Schweiz von bis zu drei Monaten keine Bewilligung (Art. 10 Abs. 1 AuG). Art. 9 Abs. 1 VZAE hält präzisierend fest, dass Ausländerinnen und Ausländer ohne Erwerbstätigkeit in der Schweiz für einen Aufenthalt von bis zu drei Monaten innerhalb eines Zeitraums von sechs Monaten nach der (erstmaligen) Einreise keine Bewilligung benötigen und sich nicht anmelden müssen (bewilligungsfreier Aufenthalt), wobei die Einreisevoraussetzungen nach Art. 5 AuG während des gesamten bewilligungsfreien Aufenthalts erfüllt sein müssen (Art. 9 Abs. 2 VZAE). Sofern hingegen ein längerer Aufenthalt ohne Erwerbstätigkeit beabsichtigt ist, ist dafür eine Bewilligung erforderlich, welche vor der Einreise in die Schweiz bei der am vorgesehenen Wohnort zuständigen Behörde zu beantragen ist (vgl. Art. 10 Abs. 2 AuG).</w:t>
      </w:r>
    </w:p>
    <w:p>
      <w:r>
        <w:rPr>
          <w:b/>
        </w:rPr>
        <w:t>E. 5.2</w:t>
      </w:r>
    </w:p>
    <w:p>
      <w:r>
        <w:t>Aufgrund der Akten steht fest, dass sich der Beschwerdeführer, welcher damals im Besitze eines gültigen Schengenvisums war, vorerst vom 14. September 2010 bis am 23. Oktober 2010, mithin während 40 Tagen, bei seiner Tochter in der Schweiz aufgehalten hatte. Gestützt auf das fragliche Visum verblieben ihm weitere 50 Tage, in denen er sich innerhalb des sechsmonatigen Zeitraums bewilligungsfrei im Schengenraum hätte aufhalten dürfen. In der Folge reiste der Beschwerdeführer am 27. November 2010 erneut in die Schweiz ein, womit der bewilligungsfreie 90-tägige (Gesamt )Aufenthalt am 15. Januar 2011 ablief. Unbestrittenermassen dauerte sein Aufenthalt in der Schweiz jedoch bis zum 20. Februar 2011, womit der Beschwerdeführer die bewilligungsfreie Aufenthaltsdauer um mehr als einen Monat überschritten und sich dadurch widerrechtlich im Schengenraum aufgehalten hat. In Bezug auf die Verfehlungen, derentwegen der Beschwerdeführer straf- und ausländerrechtlich belangt wurde, gilt zudem allgemein, dass für die Verhängung eines Einreiseverbots kein vorsätzlicher Verstoss gegen ausländerrechtliche Bestimmungen erforderlich ist. Es genügt, wenn der ausländischen Person, wie in casu, eine Sorgfaltspflichtverletzung zugerechnet werden kann. Die geltend gemachten besonderen Umstände (unplanmässige Knieoperation der in der Schweiz lebenden Tochter) entbanden den Beschwerdeführer insbesondere nicht von der Pflicht, sich rechtzeitig an die zuständigen Behörden zwecks Weiterregelung seines Aufenthaltes zu wenden. Dies umso mehr, als er sich bereits mehrmals besuchshalber in der Schweiz aufgehalten hatte, ihm die einschlägigen Visumsvorschriften somit bekannt sein mussten.</w:t>
      </w:r>
    </w:p>
    <w:p>
      <w:r>
        <w:rPr>
          <w:b/>
        </w:rPr>
        <w:t>E. 5.3</w:t>
      </w:r>
    </w:p>
    <w:p>
      <w:r>
        <w:t>Im vorliegenden Fall hat der Beschwerdeführer mit der nicht unerheblichen Überschreitung des bewilligungsfreien Aufenthaltes gegen ausländerrechtliche Vorschriften von zentraler Bedeutung verstossen, womit die Voraussetzungen für ein Einreiseverbot gemäss Art. 67 Abs. 2 Bst. a AuG fraglos erfüllt sind. Die gegen ihn verhängte Fernhaltemassnahme erweist sich damit in grundsätzlicher Hinsicht als gerechtfertigt.</w:t>
      </w:r>
    </w:p>
    <w:p>
      <w:r>
        <w:rPr>
          <w:b/>
        </w:rPr>
        <w:t>E. 6.1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vollständig überarbeitete Auflage, Zürich / St. Gallen 2010, Rz. 613 ff.).</w:t>
      </w:r>
    </w:p>
    <w:p>
      <w:r>
        <w:rPr>
          <w:b/>
        </w:rPr>
        <w:t>E. 6.2</w:t>
      </w:r>
    </w:p>
    <w:p>
      <w:r>
        <w:t>Das Fehlverhalten des Beschwerdeführers wiegt objektiv nicht leicht. Es beinhaltet die Missachtung ausländerrechtlicher Normen, denen im Interesse einer funktionierenden Rechtsordnung eine zentrale Bedeutung zukommt. Demgegenüber steht einzig das private Interesse des Beschwerdeführers an Besuchen seiner Tochter in der Schweiz. Abgesehen davon, dass solche Kontakte auch anders gepflegt werden können (beispielswiese durch Reisen der Tochter ins Heimatland des Vaters), ist die Fernhaltemassnahme nicht als absolutes Einreiseverbot ausgestaltet. Sie stellt vielmehr ein Einreiseverbot mit Bewilligungsvorbehalt dar. So hat denn auch die Vorinstanz in ihrer Vernehmlassung zutreffend darauf hingewiesen, dass dem Beschwerdeführer die Möglichkeit offen steht, zwecks Besuches von Familienangehörigen in der Schweiz die zeitweilige Suspension der angeordneten Fernhaltemassnahme zu beantragen (Art. 67 Abs. 5 AuG).</w:t>
      </w:r>
    </w:p>
    <w:p>
      <w:r>
        <w:rPr>
          <w:b/>
        </w:rPr>
        <w:t>E. 6.3</w:t>
      </w:r>
    </w:p>
    <w:p>
      <w:r>
        <w:t>Eine wertende Gewichtung der sich entgegenstehenden öffentlichen und privaten Interessen führt das Bundesverwaltungsgericht zum Schluss, dass das auf ein Jahr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im Lichte von Art. 49 VwVG nicht zu beanstanden ist. Die Beschwerde ist deshalb abzuweisen.</w:t>
      </w:r>
    </w:p>
    <w:p>
      <w:r>
        <w:rPr>
          <w:b/>
        </w:rPr>
        <w:t>E. 7.1</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