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C-3266/2008 vom 26. Januar 2010</w:t>
      </w:r>
    </w:p>
    <w:p>
      <w:r>
        <w:t>Bundesverwaltungsgericht, 2010-01-26, FR</w:t>
      </w:r>
    </w:p>
    <w:p>
      <w:r>
        <w:rPr>
          <w:b/>
        </w:rPr>
        <w:t xml:space="preserve">Quelle: </w:t>
      </w:r>
      <w:r>
        <w:t>https://mcp.opencaselaw.ch/entscheid/bvger_C-3266_2008</w:t>
      </w:r>
    </w:p>
    <w:p>
      <w:r>
        <w:t>FR: TAF C-3266/2008 du 26 janvier 2010</w:t>
      </w:r>
    </w:p>
    <w:p>
      <w:r>
        <w:t>IT: TAF C-3266/2008 del 26 gennaio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(cf. l'accord entre la Suisse et la Communauté européenne et ses Etats membres sur la libre circulation des personnes du 21 juin 1999 [ALCP, RS 0.142.112.681], Annexe II art. 1er ch. 2), les ressortissants suisses et de l'Union européenne qui présentent un degré d'invalidité de 40% au moins, ont droit à un quart de rente en application de l'art. 28 al. 2 LAI à partir du 1er juin 2002 s'ils ont leur domicile et leur résidence habituelle dans un Etat membre de l'UE.</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4.2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4.3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4.4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4.5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la rente entière de l'intéressée octroyée par décision du 13 juin 1996 ayant été reconduite par communication du 22 avril 2002 au motif que le degré d'invalidité était inchangé, la comparaison peut s'effectuer en relation avec le status de l'assurée en 1996.</w:t>
      </w:r>
    </w:p>
    <w:p>
      <w:r>
        <w:rPr>
          <w:b/>
        </w:rPr>
        <w:t>E. 5.1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5.2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6</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7.1</w:t>
      </w:r>
    </w:p>
    <w:p>
      <w:r>
        <w:t>Le litige porte sur la question de savoir si l'OAIE était fondé, par sa décision du 15 avril 2008 de révision du droit à la rente, à supprimer à partir du 1er juin 2008 la rente entière d'invalidité dont bénéficiait la recourante depuis le 1er avril 1995 au motif d'une amélioration de l'état de santé de l'intéressée.</w:t>
      </w:r>
    </w:p>
    <w:p>
      <w:r>
        <w:rPr>
          <w:b/>
        </w:rPr>
        <w:t>E. 7.2</w:t>
      </w:r>
    </w:p>
    <w:p>
      <w:r>
        <w:t>L'autorité inférieure a fondé sa décision de suppression de la rente sur une amélioration de l'état de santé essentiellement de nature psychologique en s'appuyant sur le rapport du Dr K._______ du 14 novembre 2007 préconisant une reconsidération du status de l'assurée en 1996 du fait que l'assurée n'aurait présenté aucune invalidité au sens de l'assurance-invalidité, son incapacité de travail ayant toujours été de 0%. L'OAIE a retenu de l'appréciation du Dr K._______ que l'intéressée ne présentait pas en 2007 un status psychiatrique invalidant et que son état de santé s'était amélioré au point de lui permettre de reprendre son ancienne activité ou toute activité adaptée sans aucune limitation. Le Tribunal de céans ne saurait suivre l'OAIE dans sa décision de suppression de rente au motif d'une amélioration de l'état de santé de l'assurée lui permettant une pleine et entière reprise d'activité professionnelle. En effet, les expertises rhumatologique et psychiatrique effectuées se sont concrétisées par deux rapports d'experts aux conclusions diamétralement opposées. D'une part, sur le plan rhumatologique, il fut retenu une incapacité de travail totale, l'assurée présentant un syndrome douloureux chronique et un état dépressif probablement au-delà de toutes ressources thérapeutiques, apparaissant ne plus être à même de mettre en valeur sa capacité de travail résiduelle. L'expert releva que l'évolution du status allait dépendre de la comorbidité psychiatrique. D'autre part, sur le plan psychologique, l'expert retint une pleine capacité de travail, considérant que l'intéressée ne présentait pas une comorbidité psychiatrique grave, et, en conséquence, que l'appréciation de la capacité de travail devait s'effectuer exclusivement sur la base des conclusions de l'expertise rhumatologique. Or, précisément, les conclusions de cette expertise ont relevé en août 2007 une incapacité de travail totale dont l'évolution allait dépendre de la comorbidité psychiatrique. Il s'ensuit que sur la base de ces expertises contradictoires une incapacité de travail totale ne pouvait pas être exclue a priori. Le Tribunal de céans ne saurait dès lors suivre les conclusions du Dr K._______ qui a retenu une pleine capacité de travail en se fondant principalement sur l'expertise psychiatrique sans expliquer pour quelles raisons il s'écartait de celle du Dr L._______. Il en va de même de l'appréciation du Dr N._______ de l'OAIE, qui ne permet pas de résoudre la contradiction entre les expertises du Dr M.______ et L._______. On relèvera en outre que le rapport du Dr J._______ souligne une personnalité de type borderline de la recourante et des troubles de mémoire invalidant qui n'ont pas été examinés par les Drs M._______ et L._______. Il appert de ce qui précède que le dossier doit être retourné à l'intimé afin qu'il ordonne une nouvelle expertise psychiatrique et rhumatologique prenant en compte les atteintes à la santé alléguées par la recourante. Bien fondé le recours est partiellement admis et la décision attaquée annulée.</w:t>
      </w:r>
    </w:p>
    <w:p>
      <w:r>
        <w:rPr>
          <w:b/>
        </w:rPr>
        <w:t>E. 8.1</w:t>
      </w:r>
    </w:p>
    <w:p>
      <w:r>
        <w:t>La recourante ayant eu partiellement gain de cause, il n'est pas perçu de frais de procédure (art. 63 PA) et le montant de Fr. 300.- versé à titre d'avance de frais lui est restitué.</w:t>
      </w:r>
    </w:p>
    <w:p>
      <w:r>
        <w:rPr>
          <w:b/>
        </w:rPr>
        <w:t>E. 8.2</w:t>
      </w:r>
    </w:p>
    <w:p>
      <w:r>
        <w:t>La recourante ayant agi en étant représentée, il lui est allouée une indemnité de dépens de Fr. 2'500.- (art. 64 al. 1 PA et art. 7 ss du règlement du 21 février 2008 concernant les frais, dépens et indemnités fixés par le Tribunal administratif fédéral [FITAF, RS 173.320.2]), compte tenu de la difficulté de la cause et du volume du dossier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