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C-3255/2025 vom 7. November 2025</w:t>
      </w:r>
    </w:p>
    <w:p>
      <w:r>
        <w:t>Bundesverwaltungsgericht, 2025-11-07, DE</w:t>
      </w:r>
    </w:p>
    <w:p>
      <w:r>
        <w:rPr>
          <w:b/>
        </w:rPr>
        <w:t xml:space="preserve">Quelle: </w:t>
      </w:r>
      <w:r>
        <w:t>https://mcp.opencaselaw.ch/entscheid/bvger_C-3255_2025</w:t>
      </w:r>
    </w:p>
    <w:p>
      <w:r>
        <w:t>FR: TAF C-3255/2025 du 7 novembre 2025</w:t>
      </w:r>
    </w:p>
    <w:p>
      <w:r>
        <w:t>IT: TAF C-3255/2025 del 7 novembre 2025</w:t>
      </w:r>
    </w:p>
    <w:p>
      <w:pPr>
        <w:pStyle w:val="Heading2"/>
      </w:pPr>
      <w:r>
        <w:t>Regeste</w:t>
      </w:r>
    </w:p>
    <w:p>
      <w:r>
        <w:t>Medizinprodukte</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die Verwaltungsratspräsidentin, die Vorinstanz und das EDI. Die Einzelrichterin: Der Gerichtsschreiber: Viktoria Helfenstein Roger Stalder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r>
        <w:rPr>
          <w:b/>
        </w:rPr>
        <w:t>E. 11</w:t>
      </w:r>
    </w:p>
    <w:p>
      <w:r>
        <w:t>Juni 2025 aufgefordert worden ist, bis zum 23. Juni 2025 die angefoch- tene Verfügung einzureichen (BVGer-act. 2), dass sie dieser Aufforderung nicht nachgekommen resp. die prozesslei- tende Verfügung vom 11. Juni 2025 nicht abgeholt worden ist (BVGer-act. 3), dass die Verwaltungsratspräsidentin mit Zwischenverfügung vom 30. Juni 2025 unter Hinweis auf die Säumnisfolgen (Nichteintreten auf die Be- schwerde [vgl. Art. 52 Abs. 3 und Art. 63 Abs. 4 des Verwaltungsverfah- rensgesetzes vom 20. Dezember 1968 {VwVG, SR 172.021}]) ersucht wor- den ist, bis zum 14. Juli 2025 die angefochtene Verfügung einzureichen (BVGer-act. 4), dass sie weiter aufgefordert worden ist, bis zum 14. Juli 2025 ihren Be- schwerdewillen klar zu äussern oder davon Abstand zu nehmen, dass sie schliesslich bei gegebenen Beschwerdewillen die Aufforderung erhalten hat, bis zum 14. Juli 2025 mitzuteilen, was sie verlange, indem sie klare Rechtsbegehren in der Sache stelle, diese einlässlich begründe und die entsprechende Eingabe eigenhändig unterzeichne,</w:t>
      </w:r>
    </w:p>
    <w:p>
      <w:r>
        <w:t>C-3255/2025 Seite 3 dass die Zwischenverfügung vom 30. Juni 2025 mit Datum vom 19. Juli 2025 einem Bevollmächtigten der Gesellschaft zugestellt und somit an die- sem Tag eröffnet worden ist (BVGer-act. 5), dass die Frist anlässlich der Zwischenverfügung vom 30. Juni 2025 auf den</w:t>
      </w:r>
    </w:p>
    <w:p>
      <w:r>
        <w:rPr>
          <w:b/>
        </w:rPr>
        <w:t>E. 14</w:t>
      </w:r>
    </w:p>
    <w:p>
      <w:r>
        <w:t>Mai 2019 E. 4.2 mit zahlreichen Hinweisen), dass mit dem Ablauf der ersten siebentätigen Abholfrist am 9. Juli 2025 die Zwischenverfügung vom 30. Juni 2025 als zugestellt zu gelten hat, da die Verwaltungsratspräsidentin unbestrittenermassen mit der Zustellung von Schreiben seitens des Bundesverwaltungsgerichts hat rechnen müssen,</w:t>
      </w:r>
    </w:p>
    <w:p>
      <w:r>
        <w:t>C-3255/2025 Seite 5 dass die Verwaltungsratspräsidentin unter diesen Umständen resp. mit Blick auf die Zustellfiktion noch fünf Tage Zeit gehabt hätte, sich fristgerecht zu ihrem Beschwerdewillen und gegebenenfalls zur Beschwerdeverbesse- rung zu äussern und die angefochtene Verfügung vom 17. April 2025 ein- zureichen, dass sie sich somit nicht innert der angesetzten Frist geäussert hat und deshalb zweifelsfrei von einem Verpassen der angesetzten Frist auszuge- hen ist, dass die Verwaltungsratspräsidentin selbst bei einer mangelhaften Eröff- nung ohne Zustellfiktion aufgrund der nachfolgenden Erwägungen nichts zu ihren Gunsten ableiten könnte, dass nach der bundesgerichtlichen Rechtsprechung nicht jede mangel- hafte Eröffnung schlechthin nichtig ist mit der Konsequenz, dass die Rechtsmittelfrist nicht zu laufen beginnen könnte, dass aus dem Grundsatz, dass den Parteien aus mangelhafter Eröffnung keine Nachteile erwachsen dürfen, vielmehr folgt, dass dem beabsichtigten Rechtsschutz schon dann Genüge getan wird, wenn eine objektiv mangel- hafte Eröffnung trotz ihres Mangels ihren Zweck erreicht, dass dies nichts anderes bedeutet, als nach den konkreten Umständen des Einzelfalls zu prüfen ist, ob die betroffene Partei durch den Eröffnungsman- gel tatsächlich irregeführt und dadurch benachteiligt worden ist, dass Richtschnur für die Beurteilung dieser Frage der auch in diesem pro- zessualen Bereich geltende Grundsatz von Treu und Glauben ist (vgl. hierzu Urteil des BGer 9C_791/2010 vom 10. November 2010 E. 2.2 mit zahlreichen Hinweisen), dass der Verwaltungsratspräsidentin auch bei Annahme der Eröffnung der Zwischenverfügung vom 30. Juni 2025 am 19. Juli 2025 – anstelle derjeni- gen aufgrund der Zustellfiktion vom 9. Juli 2025 – kein tatsächlicher Nach- teil erwachsen wäre, denn spätestens ab dem 19. Juli 2025 hätte sie die volle Tragweite der Zwischenverfügung vom 30. Juni 2025 abzuschätzen vermögen, dass sie sich offensichtlich auch nicht spätestens am dreissigsten Tage un- ter der Annahme der am 19. Juli 2025 erfolgten Eröffnung der</w:t>
      </w:r>
    </w:p>
    <w:p>
      <w:r>
        <w:t>C-3255/2025 Seite 6 Zwischenverfügung vom 30. Juni 2025 beim Bundesverwaltungsgericht nach dem weiteren Vorgehen erkundigt hat, dass sie somit (auch) in analoger Anwendung von Art. 50 Abs. 1 VwVG die (zusätzliche) Frist von 30 Tagen zum Kundtun ihres Beschwerdewillens resp. zur Verbesserung der Beschwerde nicht genutzt hat, dass unter diesen Umständen die Frist zur Verbesserung der Beschwerde unter Berücksichtigung der Gerichtsferien spätestens am 15. September 2025 abgelaufen ist, dass die Zwischenverfügung vom 30. Juni 2025 – selbst wenn sie fehler- haft eröffnet worden wäre – rechtsbeständig geworden wäre, da sie seitens der Verwaltungsratspräsidentin nicht innert vernünftiger Frist seit Kenntnis von deren Inhalt in Frage gestellt worden (vgl. hierzu SVR 2011 IV Nr. 32 S. 93, Urteil des BGer 9C_791/2010 E. 2.2 mit Hinweisen) und keine frist- gemässe Bekanntgabe des Beschwerdewillens resp. eine Beschwerdever- besserung erfolgt ist, dass somit androhungsgemäss auf die Beschwerde im einzelrichterlichen Verfahren nicht einzutreten ist (vgl. Art. 63 Abs. 4 VwVG in Verbindung mit Art. 23 Abs. 1 Bst. b VGG), dass sich die Gerichtsgebühr nach Umfang und Schwierigkeit der Streitsa- che, Art der Prozessführung und finanzieller Lage der Parteien bemisst (Art. 63 Abs. 4bis VwVG, Art. 2 Abs. 1 des Reglements über die Kosten und Entschädigungen vor dem Bundesverwaltungsgericht vom 21. Februar 2008 [VGKE SR 173.320.2]), dass die Verfahrenskosten ganz oder teilweise erlassen werden können, wenn – wie vorliegend – Gründe in der Sache oder in der Person der Partei es als unverhältnismässig erscheinen lassen, diese der Partei aufzuerle- gen (Art. 6 Bst. b VGKE), dass bei diesem Ausgang des Verfahrens keine Parteientschädigung aus- zurichten ist (Art. 7 Abs. 3 VGKE).</w:t>
      </w:r>
    </w:p>
    <w:p>
      <w:r>
        <w:t>C-3255/2025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