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C-3251/2009 vom 12. November 2012</w:t>
      </w:r>
    </w:p>
    <w:p>
      <w:r>
        <w:t>Bundesverwaltungsgericht, 2012-11-12, DE</w:t>
      </w:r>
    </w:p>
    <w:p>
      <w:r>
        <w:rPr>
          <w:b/>
        </w:rPr>
        <w:t xml:space="preserve">Quelle: </w:t>
      </w:r>
      <w:r>
        <w:t>https://mcp.opencaselaw.ch/entscheid/bvger_C-3251_2009</w:t>
      </w:r>
    </w:p>
    <w:p>
      <w:r>
        <w:t>FR: TAF C-3251/2009 du 12 novembre 2012</w:t>
      </w:r>
    </w:p>
    <w:p>
      <w:r>
        <w:t>IT: TAF C-3251/2009 del 12 novembre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 Zu beachten gilt, dass es sich bei der vorliegenden Streitigkeit um eine solche zwischen Versicherern unter sich handelt, und zwar um eine Drittauszahlung bzw. Verrechnung von Rentennachzahlungen (vgl. E. 3 hiernach [Art. 50 Abs. 2 IVG in Verbindung mit Art. 85bis IVV und Art. 20 Abs. 2 AHVG {vgl. auch Art. 22 Abs. 2 Bst. b ATSG}]). Solche Streitigkeiten sind in einem invalidenversicherungsrechtlichen Verfahren beizulegen (BGE 136 V 381 E. 2 und Urteile des Bundesgerichts I 632/03 vom 9. Dezember 2005 E. 2 und I 296/03 vom 21. Oktober 2004 E. 4.1.2 mit Hinweisen), wobei nebst der sachlichen und der funktionellen auch die örtliche Zuständigkeit des Bundesverwaltungsgerichts gegeben ist (vgl. Art. 58 ATSG in Verbindung mit Art. 69 Abs. 1 Bst. b IVG; vgl. hierzu auch Ueli Kieser, ATSG-Kommentar, 2. Auflage, Zürich/Basel/Genf 2009, Rz. 12 S. 717).</w:t>
      </w:r>
    </w:p>
    <w:p>
      <w:r>
        <w:rPr>
          <w:b/>
        </w:rPr>
        <w:t>E. 1.2</w:t>
      </w:r>
    </w:p>
    <w:p>
      <w:r>
        <w:t>Die Beschwerde wurde frist- und formgerecht eingereicht (vgl. Art. 22a VwVG in Verbindung mit Art. 60 ATSG und Art. 52 Abs. 1 VwVG). Als Adressatin der angefochtenen Verfügung vom 8. April 2009 (act. 46)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1.4.1</w:t>
      </w:r>
    </w:p>
    <w:p>
      <w:r>
        <w:t>Anfechtungsobjekt bildet die Verfügung der Vorinstanz vom 8. April 2009 (act. 46), mit welcher die einmalige Ausrichtung des von der Beschwerdeführerin geforderten Restbetrages von Fr. 29'809.- abgelehnt wurde. Streitig und zu prüfen ist, ob die Beschwerdeführerin Anspruch auf eine einmalige Auszahlung dieser Summe resp. - nach Abzug der laufenden Ratenzahlungen von Fr. 400.- monatlich - des Restbetrages hat oder nicht; dieser belief sich per Ende Dezember 2011 noch auf Fr. 14'609.- (B-act. 25).</w:t>
      </w:r>
    </w:p>
    <w:p>
      <w:r>
        <w:rPr>
          <w:b/>
        </w:rPr>
        <w:t>E. 1.4.2</w:t>
      </w:r>
    </w:p>
    <w:p>
      <w:r>
        <w:t>Nicht streitig und zu prüfen ist hingegen der Bestand und die Höhe der Forderung der Beschwerdeführerin. Weiter ist dem Grundsatz nach nicht streitig, dass dieser Forderung grundsätzlich der Weg der Verrechnung offen steht, was nicht beanstandet ist, gilt doch der Verrechnungsgrundsatz insbesondere auch im Sozialversicherungsrecht (vgl. Art. 50 Abs. 2 IVG in Verbindung mit Art. 20 Abs. 2 AHVG und Art. 22 Abs. 2 Bst. b ATSG; vgl. hierzu auch BGE 128 V 224 E. 3b mit Hinweisen und BGE 110 V 183 E. 2; SVR 2006 BVG Nr. 19 S. 70 E 6.1.1). Hinzu kommt, dass gemäss Rechtsprechung des Bundesgerichts die versicherte Person, welche den Bestand und die Höhe der von ihrem Rentenguthaben verrechnungsweise in Abzug gebrachten Rückforderung der Krankenkasse bestreiten will, dies direkt gegenüber dieser geltend zu machen hat. Sowohl der Ausgleichskasse als auch der IVSTA fehlt es an einer diesbezüglichen Verfügungsbefugnis (vgl. Urteil des Bundesgerichts I 296/03 vom 21. Oktober 2004 E. 4.1.1, 4.2 und 4.4 mit Hinweisen). In solchen Fällen ist der zivilrechtliche Rechtsweg einzuschlagen (vgl. Urteile des Bundesgerichts 4A_24/2012 vom 30. Mai 2012 E. 4.3, P 1/05 vom 11. Januar 2006 E. 4.3 und I 296/03 vom 21. Oktober 2004 E. 4.1.1). Im konkreten Fall handelt es sich aber um eine Streitigkeit zwischen Versicherern mit Parteistellung unter sich und nicht um eine Streitigkeit zwischen der versicherten Person und der bevorschussenden Krankenkasse resp. der Vorinstanz. Aus den Akten geht auch nicht hervor, dass der Versicherte, welcher vom Bundesverwaltungsgericht zur Stellungnahme eingeladen worden war und der sich diesbezüglich nicht hatte vernehmen lassen, Bestand und Höhe der Rückforderung der Beschwerdeführerin bestritten hatte. Sowohl dem in der Zwischenzeit verstorbenen Versicherten als auch seinen Erben kommt somit in diesem Verfahren keine Parteistellung zu.</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113 Ib 296 E. 2a; AHI 1996 S. 131 E. 2c).</w:t>
      </w:r>
    </w:p>
    <w:p>
      <w:r>
        <w:rPr>
          <w:b/>
        </w:rPr>
        <w:t>E. 2.2</w:t>
      </w:r>
    </w:p>
    <w:p>
      <w:r>
        <w:t>Aus einer mangelhaften Eröffnung einer Verfügung darf der betroffenen Person kein Nachteil erwachsen (Art. 49 Abs. 3 ATSG). Nach der Rechtsprechung ist nicht jede mangelhafte Eröffnung schlechthin nichtig mit der Konsequenz, dass die Rechtsmittelfrist nicht zu laufen beginnen könnte (vgl. hierzu ZAK 1991 S. 377 E. 2c). Aus dem im gesamten Sozialversicherungsrecht des Bundes anwendbaren Grundsatz, dass den Parteien aus mangelhafter Eröffnung keine Nachteile erwachsen dürfen (Art. 38 VwVG),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134 V 306 E. 4.2 mit Hinweisen; BGE 122 V 189 E. 2, 111 V 149 E. 4c mit Hinweisen, 114 Ib 112 E. 2a; Urteil des Bundesgerichts I 935/06 vom 21. Februar 2008 E. 3.3).</w:t>
      </w:r>
    </w:p>
    <w:p>
      <w:r>
        <w:rPr>
          <w:b/>
        </w:rPr>
        <w:t>E. 2.3</w:t>
      </w:r>
    </w:p>
    <w:p>
      <w:r>
        <w:t>Erlässt ein Versicherungsträger eine Verfügung, welche die Leistungspflicht eines anderen Trägers berührt, so hat er auch ihm die Verfügung zu eröffnen. Dieser kann die gleichen Rechtsmittel ergreifen wie die versicherte Person (Art. 49 Abs. 4 ATSG). Wird eine Verfügung über die Ablehnung der Leistungspflicht einem anderen Versicherungsträger nicht eröffnet und erfolgt auch keine entsprechende Orientierung, obwohl eine solche gesetzlich vorgeschrieben wäre, so hat dies zur Folge, dass die Verfügung wegen dieses Mangels gegenüber dem mitbetroffenen Versicherungsträger keine Rechtswirkungen zu entfalten vermag (RKUV 1991 U 124 S. 158 E. 2a; vgl. auch BGE 134 V 306 E. 4.2).</w:t>
      </w:r>
    </w:p>
    <w:p>
      <w:r>
        <w:rPr>
          <w:b/>
        </w:rPr>
        <w:t>E. 3.1</w:t>
      </w:r>
    </w:p>
    <w:p>
      <w:r>
        <w:t>Materiell macht die Beschwerdeführerin geltend (vgl. Beschwerde S. 5 Nr. 3.3), dass sie gestützt auf Art. 85bis IVV in Verbindung mit Art. B4 Abs. 1 und 2 der Allgemeinen Vertragsbedingungen (AVB) 05.99 (BF-act 2) sowie die Vorleistungsvereinbarung vom 9./21. Oktober 2001 (BF-act 3) und den Verrechnungsantrag vom 30. Oktober 2001 zuhanden der IV-Stelle Zürich (BF-act 5) einen Anspruch auf Ausrichtung eines Drittauszahlungsbetrages aus den IV-Rentennachzahlungen für die Periode vom 1. Juni 2001 bis 1. Juli 2002 habe. Insbesondere ist die Beschwerdeführerin der Auffassung, dass die erwähnten vertraglichen bzw. gesetzlichen Grundlagen zusammen mit der schriftlichen Ermächtigung des Versicherten zur Verrechnung gemäss der Vereinbarung vom 9./21. Oktober 2001 eine genügende Grundlage für die Verrechnung mit der IV darstellten (in diesem Zusammenhang wurde auf das Urteil des Bundesgerichts I 932/03 vom 9. Dezember 2005 E. 3.3 [insbesondere E. 3.3.3] verwiesen). Die Beschwerdeführerin macht darüber hinaus auch geltend, es gehe aus den bereits in der Beschwerdeschrift dargelegten Gründen nicht an, dass die IVSTA nunmehr das "Inkassorisiko" bzw. das Risiko der Unein-bringlichkeit der Drittauszahlungsforderung einfach an die X._______ weiterreiche. Insbesondere sei zu bedenken, dass die weitere Ausrichtung der laufenden IV-Rente, anders als die Drittauszahlungsforderung für die Periode von 2001 bis 2002, gar nicht gesichert sei; als Gründe dafür wurden eine IV-Rentenrevision, eine Gesetzesänderung sowie der Tod des Versicherten genannt.</w:t>
      </w:r>
    </w:p>
    <w:p>
      <w:r>
        <w:rPr>
          <w:b/>
        </w:rPr>
        <w:t>E. 3.2</w:t>
      </w:r>
    </w:p>
    <w:p>
      <w:r>
        <w:t>Die Rückforderung der X._______ wird von der Vorinstanz (vgl. Beschwerdeantwort S.2; vgl. auch E. 1.4.2 hiervor) weder bezüglich Bestand noch Höhe bestritten. Auch wird grundsätzlich nicht bestritten, dass diese auf dem Wege der Verrechnung geltend gemacht werden kann. Die Vorinstanz führte zwar aus, ein Verrechnungsantrag der X._______ vom 30. Oktober 2001 sei in den Akten nicht festzustellen und vom angeblichen Vorliegen eines solchen Antrag hätte jene erstmals durch ein Schreiben der X._______ vom 17. Januar 2005 erfahren. Die die Vorinstanz habe diese und die Z._______ als eine Einheit betrachtet und in der Folge eine Kopie der Rentenverfügung vom 29. Juni 2006 nur an die Z._______ gesandt; die Rentennachzahlung an den Versicherten habe schon stattgefunden. Die Vorinstanz war der Auffassung, dass nach den konkreten Umständen des Falles die Verrechnung nur noch auf dem Wege eines Abzugs von der laufenden monatlichen Rente erfolgen und kein Anspruch auf eine einmalige Zahlung bestehen könne. Da aufgrund der speziellen Umstände eine Situation eingetreten sei, welche - da nicht vorgesehen - keine gesetzliche Regelung erfahren habe, verzichte die Vorinstanz auf eine Antragstellung und überlasse die Beurteilung, ob die X._______ die Begleichung der Restforderung durch eine einmalige Zahlung verlangen könne, dem Bundesverwaltungsgericht.</w:t>
      </w:r>
    </w:p>
    <w:p>
      <w:r>
        <w:rPr>
          <w:b/>
        </w:rPr>
        <w:t>E. 3.3</w:t>
      </w:r>
    </w:p>
    <w:p>
      <w:r>
        <w:t>Nach der bis zum 31. Dezember 2002 gültig gewesenen Rechts- und Gesetzeslage war in Art. 50 Abs. 1 IVG durch den Verweis auf Art. 20 Abs. 1 AHVG ein allgemeines Abtretungsverbot für Geldleistungen der Invalidenversicherung statuiert. Davon abweichend erlaubte Art. 50 Abs. 2 IVG die Drittauszahlung von Nachzahlungen an Drittpersonen oder -stellen, welche im Hinblick auf die Leistungen der Invalidenversicherung Vorschusszahlungen erbracht hatten. Gestützt auf die Art. 50 Abs. 2 Satz 2 IVG eingeräumte Kompetenz hat der Bundesrat in Art. 85bis IVV die Voraussetzungen und das Verfahren der Drittauszahlung von Nachzahlungen an bevorschussende Dritte geregelt. Eine Drittauszahlung war nach Art. 85bis IVV nicht an die Voraussetzung geknüpft, dass die Nachzahlungsforderung der versicherten Person vorgängig an den betreffenden Dritten zwecks Verrechnung mit dessen Vorschuss- oder Vorleistung abgetreten worden wäre (vgl. Urteil des Bundesgerichts I 428/05 vom 18. April 2006 E. 4.1 mit Hinweisen).</w:t>
      </w:r>
    </w:p>
    <w:p>
      <w:r>
        <w:rPr>
          <w:b/>
        </w:rPr>
        <w:t>E. 3.4</w:t>
      </w:r>
    </w:p>
    <w:p>
      <w:r>
        <w:t>Die am 1. Januar 2003 in Kraft getretene Bestimmung von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(Bst. a), sowie an eine Versicherung, die Vorleistungen erbringt (Bst. b), vor. Aus der Entstehungsgeschichte geht hervor, dass es nach dem Willen des Gesetzgebers bei der Drittauszahlung des ATSG einerseits darum ging, diese auf die Nachzahlungen von Sozialversicherungsleistungen einzuschränken, und andererseits, eine vollständige Grundlage für Drittauszahlungen der Invalidenversicherung nach Massgabe der seit dem Jahre 1999 gültigen, einzig redaktionell bereinigt und seither unverändert geblieben Fassung von Art. 85bis IVV zu schaffen. Hingegen entsprach es entgegen dem Wortsinn von Art. 22 Abs. 2 ATSG nicht dem Willen des Gesetzgebers, die Drittauszahlung von Nachzahlungen der Invalidenversicherung neu und zusätzlich von der Voraussetzung abhängig zu machen, dass die versicherte Person ihre Nachzahlungsforderung vorgängig an den bevorschussenden oder vorleistenden Dritten abgetreten hat (vgl. Urteil des Bundesgerichts I 428/05 vom 18. April 2006 E. 4.2 mit Hinweisen).</w:t>
      </w:r>
    </w:p>
    <w:p>
      <w:r>
        <w:rPr>
          <w:b/>
        </w:rPr>
        <w:t>E. 3.5</w:t>
      </w:r>
    </w:p>
    <w:p>
      <w:r>
        <w:t>Gemäss Art. 85bis Abs. 1 IVV (in der seit dem 1. Januar 1999 geltenden Fassung) können Arbeitgeber, Einrichtungen der beruflichen Fürsorge,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die bevorschussenden Stellen haben ihren Anspruch mit besonderem Formular frühestens bei der Rentenanmeldung und spätestens im Zeitpunkt der Verfügung der IV-Stelle geltend zu machen (Satz 2). Nach Art. 85bis Abs. 2 IVV gelten als Vorschussleistungen einerseits freiwillige Leistungen, sofern die versicherte Person zu deren Rückerstattung verpflichtet ist und sie der Auszahlung der Rentennachzahlung an die bevorschussende Stelle schriftlich zugestimmt hat (Bst. a), und andererseits die vertraglich oder aufgrund eines Gesetzes erbrachten Leistungen, soweit aus dem Vertrag oder dem Gesetz ein eindeutiges Rückforderungsrecht infolge der Rentennachzahlung abgeleitet werden kann (Bst. b). Die Nachzahlung darf nach Art. 85bis Abs. 3 IVV der bevorschussende Stelle höchstens im Betrag der Vorschussleistung und für den Zeitraum, in welchem diese erbracht worden ist, ausbezahlt werden (vgl. BGE 136 V 381 E. 3.2 und Urteil des Bundesgerichts I 428/05 vom 18. April 2006 E. 4.4).</w:t>
      </w:r>
    </w:p>
    <w:p>
      <w:r>
        <w:rPr>
          <w:b/>
        </w:rPr>
        <w:t>E. 3.6</w:t>
      </w:r>
    </w:p>
    <w:p>
      <w:r>
        <w:t>In BGE 136 V 381 hat das Bundesgericht präzisiert, dass - da die Anforderungen an eine rechtsgenügliche Einwilligung in die Drittauszahlung nicht höher sein können als diejenigen an eine Abtretung von Sozialversicherungsleistungen, wie sie in BGE 135 V 2 formuliert worden sind - die Rechtsprechung zu Art. 85bis IVV gewisse Anpassungen im Sinne einer Lockerung der für eine Drittauszahlung verlangten Voraussetzungen erfahren muss (E. 5. Ingress). So kann am Erfordernis, dass die erwartete Rentennachzahlung im Zeitpunkt der Abgabe der schriftlichen Einwilligung hinlänglich bekannt und insbesondere der entsprechende Beschluss der zuständigen Organe bereits ergangen sein muss, nur noch insofern festgehalten werden, als Inhalt, Schuldner und Rechtsgrund der zur Verrechnung vorgesehenen Leistung bestimmbar sein müssen (E. 5.1). Zudem ist die Verwendung eines bestimmten Formulars für die Zustimmung zur Drittauszahlung nicht mehr zwingende Gültigkeitsvoraussetzung (E. 5.2).</w:t>
      </w:r>
    </w:p>
    <w:p>
      <w:r>
        <w:rPr>
          <w:b/>
        </w:rPr>
        <w:t>E. 4.1</w:t>
      </w:r>
    </w:p>
    <w:p>
      <w:r>
        <w:t>Die Voraussetzungen für eine Drittauszahlung der Rentennachzahlung gemäss Art. 85bis Abs. 2 Bst. a IVV waren, wie von der Beschwerdeführerin zu Recht geltend gemacht, in dem Zeitpunkt, als die Vorinstanz die Rentennachzahlungen an den Versicherten ausbezahlt hatte, erfüllt (vgl. Art. B4 Abs. 1 und 2 AVB 05.99 [BF-act 2] sowie Vorleistungsvereinbarung vom 9./21. Oktober 2001 [BF-act 3]). Auch wird von der Vorinstanz grundsätzlich nicht bestritten, dass die Drittauszahlung der Rentennachzahlung an die Beschwerdeführerin auf dem Wege der Verrechnung geltend gemacht werden kann. Die Vorinstanz ist lediglich der Auffassung, dass - weil die Rentennachzahlung bereits zur Auszahlung an den Versicherten gelangt war - die Verrechnung nur noch auf dem Wege eines Abzuges vom laufenden monatlichen Rentenbetreffnis erfolgen kann. Dies bestreitet jedoch die Beschwerdeführerin, und es gilt diese Frage im vorliegenden Verfahren zu beantworten.</w:t>
      </w:r>
    </w:p>
    <w:p>
      <w:r>
        <w:rPr>
          <w:b/>
        </w:rPr>
        <w:t>E. 4.2</w:t>
      </w:r>
    </w:p>
    <w:p>
      <w:r>
        <w:t>In den Akten der Beschwerdeführerin findet sich das am 30. Oktober 2001 datierte, mit dem Vermerk "KKVT-Nr.: [...]" versehene und an die IV-Stelle ZH adressierte Formular "Verrechnung von Nachzahlungen der AHV/IV" (BF-act. 5). Die Vorinstanz führte diesbezüglich vernehmlassungsweise am 26. August 2009 aus, der Verrechnungsantrag der X._______ vom 30. Oktober 2001 sei nicht aktenkundig resp. ein solcher sei in den von der IV-Stelle ZH überlassenen Akten nicht enthalten und im Aktenverzeichnis nicht vermerkt gewesen. Der entsprechende Antrag der X._______ müsse folglich bei der postalischen Übermittlung verloren gegangen sein.</w:t>
      </w:r>
    </w:p>
    <w:p>
      <w:r>
        <w:rPr>
          <w:b/>
        </w:rPr>
        <w:t>E. 4.3</w:t>
      </w:r>
    </w:p>
    <w:p>
      <w:r>
        <w:t>Es trifft zu, dass sich das Verrechnungsformular nicht in den Akten der Vorinstanz befindet. Der Frage, weshalb nicht, braucht jedoch nicht weiter nachgegangen zu werden, da die IVSTA seit spätestens Januar 2004 über den Verrechnungsantrag informiert gewesen war. Dies ergibt sich aus den vorliegenden Akten: Am 8. Januar 2004 bestätigte die Vorinstanz, dass die Y._______ zu gegebener Zeit aufgrund des Verrechnungsantrags informiert werde (B-act. 11 Beilage 4). Trotz dieser Bestätigung wurden diese vor Beschlussfassung betreffend die Invalidität des Beschwerdegegners am 14. Oktober 2004 nicht vorgängig - mittels Zustellung eines entsprechenden Formulars oder anderweitig - orientiert. Auch der Beschluss vom 14. Oktober 2004 wurde unter anderem nur der "Z._______, (...)" und nicht den Y._______ eröffnet (act. 4). Da die Vorinstanz zu diesem Zeitpunkt Kenntnis des Verrechnungsantrages gehabt hatte resp. gehabt haben musste, ist ihr vorzuwerfen, dass sie einerseits die Y._______ nicht vorgängig orientiert und andererseits den Beschluss vom 14. Oktober 2004 nicht auch der Beschwerdeführerin als Taggeldleistungserbringerin eröffnet hatte. Wäre diese Information vor resp. im Beschluss erfolgt, hätten die Y._______ noch rechtzeitig vor Erlass der entsprechenden Verfügung resp. der Auszahlung der Rentenbetreffnisse reagieren können, obwohl sie vorgängig nicht informiert resp. ihr kein Verrechnungsformular - wie praxisgemäss üblich - zugestellt wurde. Der Vorinstanz ist weiter auch für die Zeit nach der Beschlussfassung vom Oktober 2004 ein schuldhaftes Verhalten vorzuwerfen (vgl. E. 4.4 ff.), und die nicht erfolgte Information darf nicht der Beschwerdeführerin zum Nachteil gereichen.</w:t>
      </w:r>
    </w:p>
    <w:p>
      <w:r>
        <w:rPr>
          <w:b/>
        </w:rPr>
        <w:t>E. 4.4</w:t>
      </w:r>
    </w:p>
    <w:p>
      <w:r>
        <w:t>Die Vorinstanz wurde über den Verrechnungsantrag der Beschwerdeführerin im Verlaufe des Verwaltungsverfahrens zusätzlich orientiert: Mit Schreiben vom 17. Januar 2005 ersuchten die Y._______ die SAK um die Beantwortung einiger Fragen (act. 10). Auf dem entsprechenden Fragebogen wurde von der SAK bestätigt, dass die Y._______ aufgrund des Verrechnungsantrags vom 30. Oktober 2001 informiert würden (act. 11 und 12). Die SAK wusste somit bei Eingang der Anfrage der X._______ am 27. Januar 2005 resp. im Zeitpunkt der Beantwortung des Fragenkatalogs (1. Februar 2005) von dem am 30. Oktober 2001 gestellten Verrechnungsantrag - wie bereits schon am 8. Januar 2004 (vgl. E. 3.2. hiervor). Da die Beschwerdeführerin wider anderer Hinweise in den Akten damals und ohne gegenteilige Reaktion der Vorinstanz resp. der SAK im guten Glauben gewesen war, dass das Verrechnungsformular ordnungsgemäss bei der IV-Stelle ZH und später bei der SAK eingegangen war, hätte es dieser - falls gewünscht - oblegen, der X._______ ein neues Formular zukommen zu lassen. Davon hat sie jedoch abgesehen. Da die Verwendung eines entsprechenden Formulars - wie von der Beschwerdeführerin korrekt dargelegt - rechtsprechungsgemäss ohnehin eine blosse Ordnungsvorschrift darstellt, fällt dieser Umstand jedoch nicht in relevanter Weise ins Gewicht. Entscheidend ist vielmehr, dass die SAK bei Erhalt der Anfrage der X._______ im Januar 2004 bzw. Januar 2005 über deren Verrechnungsantrag Bescheid wusste oder zumindest hätte wissen müssen. Auch ist das Wissen der SAK der IVSTA und/oder dasjenige der IVSTA der SAK anzurechnen, besteht doch im Sozialversicherungsrecht für alle Stellen, die mit der Durchführung der Sozialversicherung betraut sind, eine Weiterleitungspflicht von Anmeldungen, Gesuchen und Eingaben an die zuständigen Stellen (Art. 30 ATSG). Aus der Verletzung dieser Weiterleitungspflicht kann der Beschwerdeführerin keinen Nachteil erwachsen. Kommt hinzu, dass nach dem Untersuchungsgrundsatz die zuständige Behörde den rechtserheblichen Sachverhalt von Amts wegen abzuklären hat (Art. 43 Abs. 1 ATSG).</w:t>
      </w:r>
    </w:p>
    <w:p>
      <w:r>
        <w:rPr>
          <w:b/>
        </w:rPr>
        <w:t>E. 4.5</w:t>
      </w:r>
    </w:p>
    <w:p>
      <w:r>
        <w:t>Trotz dieses Wissens wurde die Beschwerdeführerin nicht orientiert resp. der zweite Beschluss vom 16. Februar 2006, mit welchem derjenige vom 14. Oktober 2004 annulliert und ersetzt wurde, und die entsprechende Verfügung vom 29. Juni 2006 (act. 13 und 17) nicht eröffnet und am 28. Juli 2006 an den Versicherten die der Beschwerdeführerin unbestrittenermassen zustehenden Geldleistungen ausgerichtet (act. 19). Da die Vorinstanz - wie bereits früher - sowohl im Februar 2006 als auch im Juni 2006 Kenntnis vom Verrechnungsantrag gehabt hatte, hätte sie diese Erlasse - wie bereits die früheren - auch der X._______ eröffnen müssen resp. diese vorab zur Einreichung eines ordentlichen Formulars auffordern müssen, hätte sie auf ein solches bestanden (vgl. zum Thema auch Urteil des Bundesgerichts I 935/06 vom 21. Februar 2008 E. 4, 5 und 6). So hätte die Beschwerdeführerin auch hier noch rechtzeitig reagieren können. Die Vorinstanz (resp. die SAK) können sich schliesslich nicht dadurch exkulpieren, dass sie die X._______ und die Z._______ als eine Einheit betrachtet haben. Denn mit Blick auf zahlreiche ähnlich gelagerte Fälle hätte der Vorinstanz (resp. der SAK) ohne weiteres klar sein müssen, dass es sich bei der Z._______ um die BVG-Einrichtung des Beschwerdegegners gehandelt hatte und nicht um die Y._______ bzw. die X._______, von welcher die Krankentaggeldleistungen erbracht worden waren. Dies gilt selbst dann, wenn davon ausgegangen wird, dass sich das Verrechnungsformular der X._______ mit anderer Referenznummer nicht in den Akten befunden hatte. Denn auf der Anfrage der Beschwerdeführerin vom 17. Januar 2005 waren klar die Vermerke "Kollektive Krankenversicherung" und "Beginn Arbeitsunfähigkeit 2.7.2000 (Krankheit)" angebracht (act. 10).</w:t>
      </w:r>
    </w:p>
    <w:p>
      <w:r>
        <w:rPr>
          <w:b/>
        </w:rPr>
        <w:t>E. 4.6</w:t>
      </w:r>
    </w:p>
    <w:p>
      <w:r>
        <w:t>Aufgrund der vorstehenden Erwägungen ist zusammenfassend festzustellen, dass der Beschluss vom 16. Februar 2006 und die entsprechende Verfügung vom 29. Juni 2006 der Beschwerdeführerin nicht eröffnet wurden resp. diese unverschuldeterweise keine Möglichkeit mehr hatte, die am 28. Juli 2006 erfolgte Auszahlung des ihr zustehenden Betrages zu verhindern resp. mit ihren erbrachten Vorleistungen zur Verrechnung zu bringen. Der X._______ ist aus dieser mangelhaften Eröffnung ein Nachteil erwachsen (vgl. E. 2.1 ff.). Sie muss sich nicht damit abfinden, dass sie - anstelle einer Einmalzahlung des ihr unbestrittenermassen zustehenden Betrages - bloss monatliche Zahlungen erhält (vgl. auch Urteil des Bundesgerichts I 935/06 vom 21. Februar 2008 E. 6.3). Diesen Nachteil versuchte die X._______ in der Folge denn auch noch selber abzuwenden, obwohl es an sich Sache der zuständigen Ausgleichskasse gewesen wäre, die zu Unrecht ausbezahlten Leistungen mittels Rückforderungsverfügung zurückzufordern (vgl. hierzu Wegleitung über die Renten [RWL] in der Eidgenössischen Alters-, Hinterlassenen- und Invalidenversicherung, gültig ab 1. Januar 2003, Rz. 10615 ff.).</w:t>
      </w:r>
    </w:p>
    <w:p>
      <w:r>
        <w:rPr>
          <w:b/>
        </w:rPr>
        <w:t>E. 5.1</w:t>
      </w:r>
    </w:p>
    <w:p>
      <w:r>
        <w:t>Nachdem der Verrechnungsantrag nicht berücksichtigt und die X._______ darüber informiert worden war, erstellte diese am 29. Juni 2007 eine Korrekturabrechnung und forderte den Beschwerdegegner auf, die Summe in der Höhe von Fr. 35'409.- zurückzuzahlen (act. 26 und 28). Da die rückwirkend zugesprochene IV-Rente über Total Fr. 169'427.- direkt dem Versicherten ausbezahlt wurde, der Verrechnungsantrag der Beschwerdeführerin nicht berücksichtigt wurde und eine Rückforderung von Fr. 35'409.-beim Versicherten in Bosnien für die X._______ aussichtslos war, gelangte diese am 2. Juli 2007 an die SAK und bat um die Anweisung dieses Betrages. Sie führte dabei aus, der SAK sei es sicher möglich, diesen Betrag mit der laufenden Rente zu verrechnen (act. 27).</w:t>
      </w:r>
    </w:p>
    <w:p>
      <w:r>
        <w:rPr>
          <w:b/>
        </w:rPr>
        <w:t>E. 5.2</w:t>
      </w:r>
    </w:p>
    <w:p>
      <w:r>
        <w:t>Mit diesem letzten Satz des Briefes vom 2. Juli 2007 wollte die Beschwerdeführerin einzig aussagen, dass die SAK und nicht sie selbst die monatlichen Teilbeträge mittels Verrechnung mit der laufenden Rente hätte erhalten können. Ob dies wirklich der Fall hätte sein können, kann offen gelassen werde, da es das Verhältnis zwischen der IVSTA und dem Versicherten betrifft (was nicht Gegenstand des vorliegenden Verfahrens ist). Die in der Folge am 18. September 2007 erstellte Abrechnung enthielt jedoch - entgegen dem Willen der X._______ - den Vermerk, dass der monatlich mit der laufenden Rente des Versicherten zur Verrechnung gebrachte Betrag von Fr. 400.- der Versicherung überwiesen werde (act. 34). Am 24. Oktober 2008 bedankte sich die Beschwerdeführerin bei der SAK zwar für die monatliche Überweisung von Fr. 400.- (act. 38). Mit Schreiben vom 16. Dezember 2008 jedoch forderte sie die SAK erneut auf, den Restbetrag von Fr. 29'809.- anzuweisen (act. 40). Am 18. März 2009 hielt sie an ihrem Standpunkt fest (act. 44). Selbst wenn mit Blick auf das Schreiben vom 24. Oktober 2008 (act. 38) von einem zwischenzeitlich provisorisch erfolgten und später widerrufenen Einverständnis der X._______ auf monatliche Zahlungen mit den laufenden Rente ausgegangen würde, ändert dies nichts am Umstand, dass dieser durch die Direktzahlung der Vorleistungen direkt an den Versicherten ein Nachteil entstanden war, den sie nicht hinzunehmen brauchte und darauf zurückkommen konnte. Denn mit Blick auf die vorstehend zusammengefasst wiedergegebene Rechtsprechung resp. die mangelhafte Eröffnung und das Fehlverhalten der Vorinstanz (resp. der SAK) ist das Interesse der Beschwerdeführerin auf eine einmalige Zahlung höher zu gewichten als dasjenige der Vorinstanz (resp. der SAK). Dies umso mehr, als der Versicherte in der Zwischenzeit verstorben ist und keine monatlichen Abzüge von der laufenden Rente zu seinen Lasten mehr möglich sind.</w:t>
      </w:r>
    </w:p>
    <w:p>
      <w:r>
        <w:rPr>
          <w:b/>
        </w:rPr>
        <w:t>E. 6.1</w:t>
      </w:r>
    </w:p>
    <w:p>
      <w:r>
        <w:t>Wird eine Verfügung über die Abweisung/Gutheissung der Leistungspflicht einem anderen Versicherungsträger nicht eröffnet und erfolgt auch keine entsprechende Orientierung, obwohl eine solche gesetzlich vorgeschrieben wäre, so hat dies zur Folge, dass die Verfügung wegen dieses Mangels gegenüber dem mitbetroffenen Versicherungsträger keine Rechtswirkungen zu entfalten vermag (vgl. BGE 134 V 306 E. 4.2; RKUV 1991 U 124 S. 158 E. 2a; vgl. auch BGE 134 V 306 E. 4.2). Das hätte eigentlich zur Folge, dass die Abwicklung des hier in Frage stehenden Falles gegenüber der IVSTA so zu gestalten wäre, als dass diese - obwohl sie dem Versicherten die Rentennachzahlung schon ausbezahlt hatte - gegenüber der Beschwerdeführerin für den Betrag von Fr. 35'408 trotzdem aufzukommen und das Risiko der Doppelleistung zu tragen hätte, sofern sie die Auszahlung an der Versicherten nicht in gutem Glauben getätigt hätte. Im konkreten Fall kann anhand der Akten nicht von der Gutgläubigkeit der IVSTA ausgegangen werden. Die Vorinstanz, als Schuldnerin der Rentennachzahlungen an den Versicherten, wusste oder hätte bei Aufbringen der notwendigen Sorgfalt zumindest wissen müssen (zur sog. fahrlässigen Unkenntnis oder zum unberechtigten guten Glauben vgl. Flavio Lardelli, in: Heinrich Honsell [Hrsg.], Kurzkommentar OR, 2008, N. 4 zu Art. 167 OR]), dass der Versicherte in seiner Eigenschaft als "Zedent" der Forderung gegenüber der IVSTA (Schuldnerin) an die Beschwerdeführerin ("Zessionarin") im Betrag von Fr. 35'409.- schriftlich zugestimmt hatte. Der auch im Sozialversicherungsrecht analog (vgl. zur Voraussetzung hierfür BGE 129 V 30 E. 2.2 mit Hinweisen; zur Schliessung einer echten Gesetzeslücke vgl. auch etwa BGE 126 V 122 E. 2c mit Hinweis) anwendbare Art. 167 des Bundesgesetzes vom 30. März 1911 betreffend die Ergänzung des Schweizerischen Zivilgesetzbuches (Fünfter Teil: Obligationenrecht [OR]; SR 220) schützt nur den gutgläubigen Schuldner vor der Gefahr der Doppelleistung (vgl. Flavio Lardelli, in: Heinrich Honsell [Hrsg.], a.a.O., N. 1 zu Art. 167 OR). Da die IVSTA mindestens für die direkte Auszahlung des Betrages von Fr. 35'409.- an den Zedenten (und Versicherten) keine Gutgläubigkeit für sich beanspruchen kann, kann sie sich gegen eine Doppelleistung resp. -zahlung nicht wehren. Die Forderung der Beschwerdeführerin (Zessionarin) gegenüber der IVSTA wurde am 29. Juni 2006 für den ganzen Betrag von Fr. 35'409.- fällig; dies ist auch der Betrag, der spätestens am 2. Juli 2007 von der Beschwerdeführerin eingefordert wurde, nachdem sie im Juni 2007 von der Auszahlung des gesamten Betrages der Rentennachzahlungen direkt an den Versicherten erfahren hatte. Der ebenfalls analog anwendbare Art. 69 Abs. 1 OR sieht vor, dass der Gläubiger - hier die Zessionarin - nicht eine Teilzahlung anzunehmen hat, wenn die gesamte Schuld, wie im konkreten Fall, feststeht und fällig ist. Der Gläubiger ist daher nicht verpflichtet, wohl aber berechtigt, Teilleistungen anzunehmen (vgl. Flavio Lardelli, in: Heinrich Honsell [Hrsg.], a.a.O., N. 1 zu Art. 69 OR). Dementsprechend und weil ein (vertragliches) Recht der IVSTA gegenüber der Zessionarin auf Teilleistungen von monatlichen Fr. 400.- bis zur Tilgung der gesamten Schuld weder aus der fehlenden Opposition der Zessionarin zur Abrechnung der IVSTA an den Versicherten vom 18. September 2007 noch aus der Tatsache, dass die Beschwerdeführerin bis am 16. Dezember 2008 Teilleistungen angenommen hat, zu entnehmen ist, kann die Zessionarin nicht verpflichtet werden, sich mit nur monatlichen Teilleistungen zu begnügen. Auch ist spätestens mit dem Tod des Versicherten die Forderung der Zessionarin auf einmalige Auszahlung der Restforderung durch den Schuldner alles andere als rechtsmissbräuchlich. Auch wenn die vorliegende Angelegenheit als Anwendungsfall von Art. 78 ATSG betrachtet würde, würde dies am Ausgang des Verfahrens grundsätzlich nichts ändern (vgl. BGE 133 V 14 E. 11 [Urteil des Bundesgerichts I 361/06 vom 18. Oktober 2006]).</w:t>
      </w:r>
    </w:p>
    <w:p>
      <w:r>
        <w:rPr>
          <w:b/>
        </w:rPr>
        <w:t>E. 6.2</w:t>
      </w:r>
    </w:p>
    <w:p>
      <w:r>
        <w:t>Aufgrund der vorstehenden Erwägungen ist zusammenfassend festzuhalten, dass in Gutheissung der Beschwerde vom 19. Mai 2009 die Verfügung vom 8. April 2009 aufzuheben ist. Die Vorinstanz wird angewiesen zu veranlassen, der Beschwerdeführerin die noch verbleibende Restanz (Stand am 31. Dezember 2011: Fr. 14'609.-) in einer einmaligen Zahlung zu entrichten. Bei diesem Ergebnis können die im Rahmen der Eingabe der Beschwerdeführerin vom 22. Februar 2012 aufgeworfenen Fragen hinsichtlich der Verrechenbarkeit zu Lasten der Hinterlassenenrenten des Versicherten offen gelassen werden.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Der unterliegenden Vorinstanz können allerdings keine Kosten auferlegt werden (Art. 63 Abs. 2 VwVG). Der obsiegenden Beschwerdeführerin sind ebenfalls keine Kosten aufzuerlegen. Dieser ist der geleistete Verfahrenskostenvorschuss von Fr. 800.- nach Eintritt der Rechtskraft des vorliegenden Urteils zurückzuerstatten.</w:t>
      </w:r>
    </w:p>
    <w:p>
      <w:r>
        <w:rPr>
          <w:b/>
        </w:rPr>
        <w:t>E. 7.2</w:t>
      </w:r>
    </w:p>
    <w:p>
      <w:r>
        <w:t>Bei diesem Verfahrensausgang hat die Vorinstanz keinen Anspruch auf eine Parteientschädigung (Art. 64 Abs. 1 VwVG in Verbindung mit Art. 7 Abs. 3 des Reglements vom 21. Februar 2008 über die Kosten und Entschädigungen vor dem Bundesverwaltungsgericht [VGKE, SR 173.320.2]). Der Beschwerdeführerin ist gemäss der Rechtsprechung, wonach den Sozialversicherern kein Anspruch auf Parteientschädigung einzuräumen ist (vgl. hierzu BGE 128 V 124 E. 5b, 126 V 143 E. 4b; RKUV 1992 U 150 S. 166),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