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C-3247/2011 vom 6. März 2012</w:t>
      </w:r>
    </w:p>
    <w:p>
      <w:r>
        <w:t>Bundesverwaltungsgericht, 2012-03-06, FR</w:t>
      </w:r>
    </w:p>
    <w:p>
      <w:r>
        <w:rPr>
          <w:b/>
        </w:rPr>
        <w:t xml:space="preserve">Quelle: </w:t>
      </w:r>
      <w:r>
        <w:t>https://mcp.opencaselaw.ch/entscheid/bvger_C-3247_2011</w:t>
      </w:r>
    </w:p>
    <w:p>
      <w:r>
        <w:t>FR: TAF C-3247/2011 du 6 mars 2012</w:t>
      </w:r>
    </w:p>
    <w:p>
      <w:r>
        <w:t>IT: TAF C-3247/2011 del 6 marzo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Le recourant se plaint en premier lieu d'une violation du droit d'être entendu, la décision querellée étant, selon lui, insuffisamment motivée et présentant un "vice de forme".</w:t>
      </w:r>
    </w:p>
    <w:p>
      <w:r>
        <w:rPr>
          <w:b/>
        </w:rPr>
        <w:t>E. 3.1</w:t>
      </w:r>
    </w:p>
    <w:p>
      <w:r>
        <w:t>A ce titre, le Tribunal rappelle que la jurisprudence a notamment déduit du droit d'être entendu, garanti par l'art. 29 al. 2 de la Constitution fédérale de la Confédération suisse du 18 avril 1999 (Cst. ; RS 101), l'obligation pour l'autorité de motiver sa décision afin que l'intéressé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(cf. ATF 134 I 83 consid. 4.1 et la jurisprudence citée ; cf. également ATAF 2009/35 consid. 6.4.1 et les références citées). Elle peut passer sous silence ce qui, sans arbitraire, lui paraît à l'évidence non établi ou sans pertinence (cf. arrêt du Tribunal fédéral 5P.408/2004 du 10 janvier 2005, consid. 2.2 et les références citées).</w:t>
      </w:r>
    </w:p>
    <w:p>
      <w:r>
        <w:rPr>
          <w:b/>
        </w:rPr>
        <w:t>E. 3.2</w:t>
      </w:r>
    </w:p>
    <w:p>
      <w:r>
        <w:t>Dans le cas d'espèce, s'il est vrai que la décision de l'autorité de première instance du 7 février 2011 est motivée fort sommairement, il n'en demeure pas moins que, sur la base des indications figurant dans ladite décision, le recourant était en mesure de saisir le fondement essentiel que l'ODM avait retenu à l'appui de sa décision, à savoir que l'interdiction d'entrée a été prononcée en raison d'une atteinte à la sécurité et à l'ordre publics pour séjour illégal. Quant au grief de "vice de forme", s'il est exact que la décision querellée fait à tort mention de l'art. 67 al. 1 LEtr alors que les motifs invoqués par l'autorité intimée à sa base sont, depuis le 1er janvier 2011, contenus dans l'art. 67 al. 2 LEtr, cette erreur ne saurait entraîner l'annulation de ce prononcé. En effet, il est manifeste que le recourant a pu rédiger un mémoire de recours circonstancié, contestant les motifs - atteinte à la sécurité et à l'ordre publics - sur la base desquels la décision a été prononcée. Cela démontre que A._______ a été parfaitement apte à discerner les raisons ayant amené l'autorité inférieure à prendre la décision objet de la présente procédure.</w:t>
      </w:r>
    </w:p>
    <w:p>
      <w:r>
        <w:rPr>
          <w:b/>
        </w:rPr>
        <w:t>E. 3.3</w:t>
      </w:r>
    </w:p>
    <w:p>
      <w:r>
        <w:t>En conséquence, le grief de violation du droit d'être entendu doit être écarté.</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à 32).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w:t>
      </w:r>
    </w:p>
    <w:p>
      <w:r>
        <w:t>L'interdiction d'entrée, qui permet d'empêcher l'entrée ou le retour en Suisse (et dans l'Espace Schengen ; cf. arrêt du Tribunal administratif fédéral C-6528/2008 du 14 mai 2009 consid. 4)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w:t>
      </w:r>
    </w:p>
    <w:p>
      <w:r>
        <w:rPr>
          <w:b/>
        </w:rPr>
        <w:t>E. 6.1</w:t>
      </w:r>
    </w:p>
    <w:p>
      <w:r>
        <w:t>La nouvelle teneur de l'art. 67 LEtr, telle qu'elle résulte de l'Arrêté fédéral portant approbation et mise en oeuvre de l'échange de notes entre la Suisse et la Communauté européenne concernant la reprise de la directive CE sur le retour (Directive 2008/115/CE du Parlement européen et du Conseil du 16 décembre 2008 relative aux normes et procédures communes applicables dans les Etats membres au retour des ressortissants de pays tiers en séjour irrégulier ; Développement de l'acquis de Schengen), est entrée en vigueur le 1er janvier 2011 (RO 2010 5925). Aucune disposition transitoire n'a été prévue pour l'introduction du nouvel art. 67 LEtr.</w:t>
      </w:r>
    </w:p>
    <w:p>
      <w:r>
        <w:rPr>
          <w:b/>
        </w:rPr>
        <w:t>E. 6.2</w:t>
      </w:r>
    </w:p>
    <w:p>
      <w:r>
        <w:t>In casu, les faits à l'origine de la décision querellée se sont déroulés, pour une part, sous l'empire de l'ancien droit (séjour illégal dans l'Espace Schengen du 23 février 2010 au 31 décembre 2010) et, pour une autre, sous l'égide du droit en vigueur (séjour illégal dans l'Espace Schengen du 1er au 2 janvier 2011 et entrée illégale en Suisse le 2 janvier 2011). Se pose ainsi la question du droit applicable à la présente cause.</w:t>
      </w:r>
    </w:p>
    <w:p>
      <w:r>
        <w:rPr>
          <w:b/>
        </w:rPr>
        <w:t>E. 6.3</w:t>
      </w:r>
    </w:p>
    <w:p>
      <w:r>
        <w:t>Conformément aux principes généraux régissant l'application du droit dans le temps, la législation applicable en cas de changements législatifs est en principe, sous réserve de dispositions particulières de droit transitoire, celle qui était en vigueur lors de la réalisation de l'état de fait devant être apprécié juridiquement ou ayant des conséquences juridiques (cf. arrêt du Tribunal administratif fédéral C-804/2010 du 1er septembre 2010, consid. 3.2, et la jurisprudence citée). En présence d'un état de faits durable, non encore révolu lors du changement de législation, ce qui est en l'espèce le cas s'agissant du séjour illégal du recourant dans l'Espace Schengen, le nouveau droit est en règle générale applicable (rétroactivité impropre). Il n'y a en conséquence pas, dans ce cas, de rétroactivité proprement dite, en principe inadmissible (cf. à ce sujet, l'arrêt du Tribunal administratif fédéral B-6324/2007 du 15 mai 2008, consid. 3, et la jurisprudence citée ; cf. également Piermarco Zen-Ruffinen, Droit administratif, partie générale et éléments de procédure, Neuchâtel 2011, § 140). En conséquence de ce qui précède, le nouveau droit est applicable au cas d'espèce.</w:t>
      </w:r>
    </w:p>
    <w:p>
      <w:r>
        <w:rPr>
          <w:b/>
        </w:rPr>
        <w:t>E. 7.1</w:t>
      </w:r>
    </w:p>
    <w:p>
      <w:r>
        <w:t>Aux termes de l'art. 67 al. 1 LEtr, l'ODM interdit l'entrée en Suisse, sous réserve de l'al. 5, à un étranger frappé d'une décision de renvoi lorsque le renvoi est immédiatement exécutoire en vertu de l'art. 64d al. 2 let. a à c LEtr (let. a) ou lorsque l'étranger n'a pas quitté la Suisse dans le délai imparti (let. b). Ces conditions sont alternatives (cf. Message du Conseil fédéral sur l'approbation et la mise en oeuvre de l'échange de notes entre la Suisse et la CE concernant la reprise de la directive CE sur le retour [directive 2008/115/CE] [développement de l'acquis Schengen], FF 2009 8057)</w:t>
      </w:r>
    </w:p>
    <w:p>
      <w:r>
        <w:rPr>
          <w:b/>
        </w:rPr>
        <w:t>E. 7.2</w:t>
      </w:r>
    </w:p>
    <w:p>
      <w:r>
        <w:t>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7.3</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aux art. 94 par. 1 et 96 CAAS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7.4.1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w:t>
      </w:r>
    </w:p>
    <w:p>
      <w:r>
        <w:rPr>
          <w:b/>
        </w:rPr>
        <w:t>E. 7.4.2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7.4.3</w:t>
      </w:r>
    </w:p>
    <w:p>
      <w:r>
        <w:t>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arrêt du Tribunal administratif fédéral C-2221/2011 du 25 novembre 2011 consid. 6.4 et la jurisprudence citée).</w:t>
      </w:r>
    </w:p>
    <w:p>
      <w:r>
        <w:rPr>
          <w:b/>
        </w:rPr>
        <w:t>E. 7.5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Andreas Zünd / Ladina Arquint Hill, Beendigung der Anwesenheit, Entfernung und Fernhaltung, in : Uebersax / Rudin / Hugi Yar / Geiser [éd.], Ausländerrecht, 2ème éd., Bâle 2009, ch. 8.80 p. 356).</w:t>
      </w:r>
    </w:p>
    <w:p>
      <w:r>
        <w:rPr>
          <w:b/>
        </w:rPr>
        <w:t>E. 8.1</w:t>
      </w:r>
    </w:p>
    <w:p>
      <w:r>
        <w:t>En l'occurrence, le 7 février 2011, l'ODM a prononcé à l'encontre de A._______ une décision d'interdiction d'entrée en Suisse d'une durée de deux ans. L'autorité de première instance, considérant le rapport du Corps des gardes-frontière (recte : gardes-frontières ; CGFR) du 2 janvier 2011 et le document intitulé "Droit d'être entendu en cas de mesures d'éloignement", a estimé que l'intéressé avait porté atteinte à la sécurité et à l'ordre publics en raison de son séjour illégal en Suisse et dans l'Espace Schengen (cf. également le préavis du 5 juillet 2011, p. 2).</w:t>
      </w:r>
    </w:p>
    <w:p>
      <w:r>
        <w:rPr>
          <w:b/>
        </w:rPr>
        <w:t>E. 8.2</w:t>
      </w:r>
    </w:p>
    <w:p>
      <w:r>
        <w:t>Le Tribunal constate que A._______, ressortissant libanais, est entré en Suisse le 2 janvier 2011 au moyen d'un visa uniforme Schengen (de catégorie C permettant des entrées multiples dans l'Espace Schengen dans le cadre de sa période de validité, de deux ans en l'occurrence, et un séjour sur le territoire des Etats membres de l'Espace Schengen d'une durée de trois mois sur une période de six mois [cf. art. 24 par. 1 et 2 du code des visas et 5 du code frontières Schengen]), délivré par la République française, échu depuis le 23 février 2010. En franchissant la frontière sans visa valable, le recourant a violé les prescriptions légales relatives à l'entrée en Suisse (cf. art. 5 LEtr et 5 du code frontières Schengen). Une telle violation constitue une atteinte à la sécurité et à l'ordre publics (cf. art. 80 al. 1 OASA), laquelle justifie déjà, dans son principe, le prononcé d'une mesure d'interdiction d'entrée (cf. art. 67 al. 2 let. a LEtr).</w:t>
      </w:r>
    </w:p>
    <w:p>
      <w:r>
        <w:rPr>
          <w:b/>
        </w:rPr>
        <w:t>E. 8.3</w:t>
      </w:r>
    </w:p>
    <w:p>
      <w:r>
        <w:t>A._______ objecte qu'il n'a jamais séjourné illégalement en Suisse. Certes, il ressort du dossier que le recourant n'a vraisemblablement pas résidé en Suisse entre le 23 février 2010, date de l'échéance de son visa, et le 2 janvier 2011. Il n'en demeure pas moins que la notion de séjour illégal (ou irrégulier) comprend une réalité plus large que le seul fait d'habiter ou de résider illégalement sur un territoire donné. Elle se définit par "la présence sur le territoire d'un Etat membre d'un ressortissant d'un pays tiers qui ne remplit pas, ou ne remplit plus, les conditions d'entrée énoncées à l'art. 5 du code frontières Schengen, ou d'autres conditions d'entrée, de séjour et de résidence dans cet Etat membre" (art. 3 ch. 2 de la directive 2008/115/CE ; cf. à ce sujet, Message du Conseil fédéral sur l'approbation et la mise en oeuvre de l'échange de notes entre la Suisse et la CE concernant la reprise de la directive CE sur le retour [directive 2008/115/CE] [développement de l'acquis Schengen], FF 2009 8049). Pour ce qui concerne la Suisse, la directive 2008/115/CE précitée constitue - dans la mesure où elle s'applique aux ressortissants de pays tiers qui ne remplissent pas ou ne remplissent plus les conditions d'entrée conformément au code frontières Schengen - un développement des dispositions de l'acquis de Schengen au sens de l'accord conclu entre l'Union européenne, la Communauté européenne et la Confédération suisse sur l'association de la Confédération suisse à la mise en oeuvre, à l'application et au développement de l'acquis de Schengen (cf. directive 2008/115/CE précitée, ch. 29). Partant, les définitions exposées en son art. 3 peuvent être reprises pour interpréter des notions contenues dans le droit suisse. Il en découle que la seule présence de A._______ sur le territoire suisse le 2 janvier 2011 est suffisante pour que soit reconnu un séjour illégal.</w:t>
      </w:r>
    </w:p>
    <w:p>
      <w:r>
        <w:rPr>
          <w:b/>
        </w:rPr>
        <w:t>E. 8.4</w:t>
      </w:r>
    </w:p>
    <w:p>
      <w:r>
        <w:t>Finalement, A._______ n'a pas contesté avoir résidé, sans visa valable, dans l'Espace Schengen - plus précisément en France eu égard à ses déclarations (cf. à ce sujet le rapport CGFR, p. 1 [paragraphe intitulé "Etat des faits"]) - durant un peu plus de dix mois, contrevenant ainsi à l'art. 5 par. 1 let. b du code frontières Schengen. Partant, le Tribunal constate que le recourant, ressortissant d'un pays tiers présent sur le territoire d'un Etat membre de l'Espace Schengen avec un visa échu, ne remplissait plus les conditions d'entrée énoncées à l'art. 5 du code frontières Schengen et, partant, séjournait illégalement dans l'Espace Schengen depuis près d'une année (cf. art. 3 ch. 2 de la directive 2008/115/CE). Ce fait, demeuré incontesté, doit également être retenu à la charge de l'intéressé dans le cadre du prononcé d'une mesure d'interdiction d'entrée en Suisse dont les effets s'étendent à tout l'Espace Schengen (cf. sur la question de la prise en considération, dans le prononcé d'une mesure d'interdiction d'entrée en Suisse, d'un séjour illégal dans l'Espace Schengen, cf. Marc Specha / Antonia Kerland / Peter Bolzli, Handbuch zum Migrationsrecht, Zurich 2010, p. 233, et l'arrêt du Tribunal administratif fédéral C-2771/2010 du 3 février 2012, consid. 5).</w:t>
      </w:r>
    </w:p>
    <w:p>
      <w:r>
        <w:rPr>
          <w:b/>
        </w:rPr>
        <w:t>E. 8.5</w:t>
      </w:r>
    </w:p>
    <w:p>
      <w:r>
        <w:t>Au regard de ce qui précède, on ne saurait reprocher à l'ODM d'avoir prononcé une mesure d'interdiction d'entrée, A._______ ayant bien attenté à la sécurité et à l'ordre publics en Suisse et à l'étranger en raison de son entrée illégale en Suisse le 2 janvier 2011, de sa présence à l'aéroport de Genève ce même 2 janvier 2011 et de son séjour illégal dans l'Espace Schengen, plus précisément en France, du 23 février 2010 au 2 janvier 2011.</w:t>
      </w:r>
    </w:p>
    <w:p>
      <w:r>
        <w:rPr>
          <w:b/>
        </w:rPr>
        <w:t>E. 9</w:t>
      </w:r>
    </w:p>
    <w:p>
      <w:r>
        <w:t>Le dossier de l'autorité intimée fait apparaître que le recourant est père d'une fille de quatorze ans, de nationalité suisse et résidant à Genève, C._______, sur laquelle il affirme avoir un droit de visite. Ce fait, A._______ l'a laconiquement invoqué dans sa lettre du 30 avril 2011, sans en faire mention par la suite dans la procédure de recours et sans apporter de plus amples précisions. En l'état, il est manifeste que le recourant n'a pas rendu vraisemblable l'existence de relations familiales étroites et effectives avec sa fille. Dans ces circonstances, il ne saurait se prévaloir de la protection de la vie privée et familiale prévue à l'art. 8 de la Convention du 4 novembre 1950 de sauvegarde des droits de l'homme et des libertés fondamentales (CEDH ; RS 0.101 ; cf. à ce sujet ATF 135 II 143 consid. 1.3.1 et ATF 130 II 281 consid. 3.1, ainsi que les arrêts cités). Ainsi, le lien de filiation avéré entre A._______ et C._______ n'a pas d'incidence sur le sort de la présente cause.</w:t>
      </w:r>
    </w:p>
    <w:p>
      <w:r>
        <w:rPr>
          <w:b/>
        </w:rPr>
        <w:t>E. 10.1</w:t>
      </w:r>
    </w:p>
    <w:p>
      <w:r>
        <w:t>Il convient encore d'examiner si la mesure d'éloignement prise par l'ODM satisfait aux principes de proportionnalité et de l'égalité de traitement.</w:t>
      </w:r>
    </w:p>
    <w:p>
      <w:r>
        <w:rPr>
          <w:b/>
        </w:rPr>
        <w:t>E. 10.2</w:t>
      </w:r>
    </w:p>
    <w:p>
      <w:r>
        <w:t>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 cf. ci-dessus, consid. 7.4,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C-7645/2010 du 31 août 2011, consid. 7.2 et les références citées).</w:t>
      </w:r>
    </w:p>
    <w:p>
      <w:r>
        <w:rPr>
          <w:b/>
        </w:rPr>
        <w:t>E. 10.3</w:t>
      </w:r>
    </w:p>
    <w:p>
      <w:r>
        <w:t>En l'espèce, le recourant n'a pas respecté les prescriptions légales en vigueur sur l'entrée et le séjour en Suisse et le séjour dans l'Espace Schengen.</w:t>
      </w:r>
    </w:p>
    <w:p>
      <w:r>
        <w:rPr>
          <w:b/>
        </w:rPr>
        <w:t>E. 10.3.1</w:t>
      </w:r>
    </w:p>
    <w:p>
      <w:r>
        <w:t>L'interdiction d'entrée prononcée à l'endroit de A._______ est une mesure administrative de contrôle qui se justifie pour le tenir éloigné de l'Espace Schengen où il a contrevenu aux prescriptions légales. Il en va de l'intérêt de l'Etat à voir respecter l'ordre établi et la législation en vigueur (cf. arrêt du Tribunal administratif fédéral C-4966/2010 du 13 octobre 2011, consid. 7). Par ailleurs, les actes reprochés au recourant ne sauraient être minimisés. Il convient en particulier de rappeler que celui-ci a séjourné durant dix mois dans l'Espace Schengen alors que son visa était échu. A._______, eu égard aux nombreux visas qu'il a obtenus dans le passé (cf. ci-dessous, consid. 10.3.2), ne pouvait ignorer se trouver dans l'illégalité.</w:t>
      </w:r>
    </w:p>
    <w:p>
      <w:r>
        <w:rPr>
          <w:b/>
        </w:rPr>
        <w:t>E. 10.3.2</w:t>
      </w:r>
    </w:p>
    <w:p>
      <w:r>
        <w:t>Néanmoins, dans le cadre de l'analyse du principe de proportionnalité au sens étroit doit être prise en considération la situation personnelle de A._______. A ce titre, l'intéressé invoque entretenir des relations d'affaires, "notamment dans le domaine de l'énergie", depuis 1968 avec la Suisse et la France, pays dans lesquels, muni de visas valables, il a fréquemment séjourné. A l'examen des copies de visas pour la Suisse et l'Espace Schengen obtenus depuis 2003, le Tribunal considère les explications du recourant s'agissant de son activité commerciale comme étant vraisemblables. Il en découle que A._______ dispose d'un intérêt privé à pouvoir se rendre dans l'Espace Schengen. Cet intérêt ne saurait toutefois justifier qu'aucune interdiction d'entrée ne soit prononcée ou que la durée de cette mesure soit limitée à six mois, comme le demande le prénommé dans son recours.</w:t>
      </w:r>
    </w:p>
    <w:p>
      <w:r>
        <w:rPr>
          <w:b/>
        </w:rPr>
        <w:t>E. 10.4</w:t>
      </w:r>
    </w:p>
    <w:p>
      <w:r>
        <w:t>Tenant compte de l'ensemble des éléments objectifs et subjectifs de la cause, le Tribunal juge que l'interdiction d'entrée en Suisse prise par l'autorité inférieure le 7 février 2011 est nécessaire et adéquate afin de prévenir toute nouvelle atteinte à la sécurité et à l'ordre publics en Suisse et dans l'Espace Schengen. La durée de la mesure - deux ans - fondée sur une entrée illégale en Suisse et un séjour illégal d'un peu plus de dix mois dans l'Espace Schengen, tient suffisamment compte de l'intérêt privé du recourant relatif à ses activités commerciales et, partant, respecte le principe de proportionnalité. Par ailleurs, considérant les décisions prises par les autorités dans des cas analogues, la mesure n'est pas contraire au principe d'égalité de traitement. Il convient par conséquent de confirmer la décision de l'autorité de première instance.</w:t>
      </w:r>
    </w:p>
    <w:p>
      <w:r>
        <w:rPr>
          <w:b/>
        </w:rPr>
        <w:t>E. 11.1</w:t>
      </w:r>
    </w:p>
    <w:p>
      <w:r>
        <w:t>Il ressort de ce qui précède que, par sa décision du 7 février 2011, l'ODM n'a ni violé le droit fédéral, ni constaté des faits pertinents de manière inexacte ou incomplète. En outre, cette décision n'est pas inopportune (art. 49 PA). En conséquence, le recours est rejeté.</w:t>
      </w:r>
    </w:p>
    <w:p>
      <w:r>
        <w:rPr>
          <w:b/>
        </w:rPr>
        <w:t>E. 11.2</w:t>
      </w:r>
    </w:p>
    <w:p>
      <w:r>
        <w:t>Vu l'issue de la cause, les frais de procédure sont mis à la charge du recourant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