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C-3245/2007 vom 11. September 2008</w:t>
      </w:r>
    </w:p>
    <w:p>
      <w:r>
        <w:t>Bundesverwaltungsgericht, 2008-09-11, DE</w:t>
      </w:r>
    </w:p>
    <w:p>
      <w:r>
        <w:rPr>
          <w:b/>
        </w:rPr>
        <w:t xml:space="preserve">Quelle: </w:t>
      </w:r>
      <w:r>
        <w:t>https://mcp.opencaselaw.ch/entscheid/bvger_C-3245_2007</w:t>
      </w:r>
    </w:p>
    <w:p>
      <w:r>
        <w:t>FR: TAF C-3245/2007 du 11 septembre 2008</w:t>
      </w:r>
    </w:p>
    <w:p>
      <w:r>
        <w:t>IT: TAF C-3245/2007 del 11 settembre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In der Türkei sind auch heute noch breite Bevölkerungsschichten von vergleichsweise schwierigen wirtschaftlichen und sozialen Lebensbedingungen betroffen. Die Liberalisierungspolitik der letzten Jahrzehnte hat dem Land zwar ein rasches Wirtschaftswachstum, aber ebenso eine zunehmend ungleiche Einkommensverteilung beschert. Daran hat sich auch nach der schweren Wirtschafts- und Finanzkrise im Jahre 2001 nichts Wesentliches geändert; das seither wieder zu beobachtende Wirtschaftswachstum hat der breiten Bevölkerungsmehrheit weder mehr Beschäftigung bzw. Einkommen noch grössere Konsummöglichkeiten gebracht. Insbesondere die unteren Bevölkerungsschichten leben weiterhin am Rande des Existenzminimums. Der jahrelange innenpolitische Konflikt in den Kurdengebieten im Südosten und Osten und die damit einhergehenden Probleme haben zu einer massiven und anhaltenden Landflucht der Bevölkerung in die grösseren Städte der Region sowie in die westlichen Gebiete des Landes geführt, was wiederum eine Zunahme der Arbeitslosenquote und der ganzen damit verbundenen sozialen Problematik nach sich zieht (Quelle: Länder- und Reiseinformationen auf der Webseite des Auswärtigen Amtes, www.auswaertiges-amt.de, Stand April 2008, besucht am 22. August 2008). In den Kurdengebieten ist der Notstand zwar seit November 2002 aufgehoben. Trotz wiederholter Ausrufung der einseitigen Waffenruhe durch die PKK kommt es jedoch weiterhin zu bewaffneten Auseinandersetzungen zwischen der Untergrundorganisation und türkischen Sicherheitskräften. Obwohl die Türkei bereits seit längerer Zeit der Europäischen Menschenrechtskonvention beigetreten ist, bestehen nach wie vor Defizite in den Bereichen der Meinungsfreiheit, der kulturellen Rechte, der Gewerkschaftsrechte und der Religionsfreiheit. Die Verhältnisse in der Türkei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 So haben hier beispielsweise im Jahre 2007 621 türkische Staatsangehörige um Asyl ersucht. In der Statistik der Asylgesuche nach Nationen steht die Türkei damit an vierter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4.4</w:t>
      </w:r>
    </w:p>
    <w:p>
      <w:r>
        <w:t>Bei der Risikoanalyse sind aber nicht nur solch allgemeine Umstände und Erfahrungen, sondern auch, wie oben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dem aus Ostanatolien (Provinz Bingöl) stammenden Gesuchsteller handelt es sich um einen 27-jährigen, unverheirateten Mann, der anlässlich seiner Vorsprache bei der Schweizerischen Botschaft in Ankara weder Angaben zu seinem Beruf noch zu einem allfälligen Arbeitgeber machen konnte (vgl. Ziff. 9 und 10 des persönlichen Einreisegesuches vom 14. März 2007). Entsprechend hielt die Schweizervertretung in ihrem (negativen) Antrag an die Vorinstanz fest, der Eingeladene sei arbeitslos. Gegenüber der kantonalen Migrationsbehörde hielt der Beschwerdeführer präzisierend fest, sein Sohn sei Automechaniker, stehe aber in keinem Arbeitsverhältnis. Für die Annahme aber, der Gesuchsteller ginge in der Zwischenzeit in seinem Heimatland einer geregelten Erwerbstätigkeit nach und sei nunmehr in der Arbeitswelt integriert, ergeben sich aus den Akten keine Anhaltspunkte. Der Beschwerdeführer, der die Vermögensverhältnisse des Gesuchstellers weder im vorinstanzlichen Verfahren noch auf Beschwerdeebene offen legte, macht denn auch nicht geltend, sein Sohn lebe in wirtschaftlich günstigen Verhältnissen, die ihn verlässlich von einer Emigration abzuhalten vermöchten.</w:t>
      </w:r>
    </w:p>
    <w:p>
      <w:r>
        <w:rPr>
          <w:b/>
        </w:rPr>
        <w:t>E. 5.2</w:t>
      </w:r>
    </w:p>
    <w:p>
      <w:r>
        <w:t>Im Weitern gilt es zu berücksichtigen, dass der Eingeladene mit dem Gastgeber und Beschwerdeführer - seinem Vater - bereits über eine wichtige Bezugsperson in der Schweiz verfügt. Ebenso ist dem Umstand Rechnung zu tragen, dass zwei Brüder des Gesuchstellers in die Bundesrepublik Deutschland übersiedelt sind, woraus auf einen konkreten Migrationswillen im nächsten Umfeld des Eingeladenen geschlossen werden kann. Vor diesem Hintergrund müssen die Vorbringen auf Beschwerdeebene, wonach genügend Garantien für eine fristgerechte Wiederausreise vorhanden seien, als nicht ausschlaggebend bezeichnet werden. Im Übrigen hegte auch die Schweizerische Vertretung in Ankara,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5.3</w:t>
      </w:r>
    </w:p>
    <w:p>
      <w:r>
        <w:t>Nach dem Gesagten durfte die Vorinstanz daher zu Recht davon ausgehen, die Wiederausreise des Gesuchstellers sei im Sinne der massgeblichen Bestimmungen nicht gesichert. An der Richtigkeit dieser Einschätzung ändert auch die Tatsache nichts, dass der Beschwerdeführer die rechtzeitige Rückkehr des eingeladenen Sohnes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C-6703/2007 vom 14. Juli 2008 E. 5.4). Ebenfalls nicht zu einer andern Beurteilung führt der (im Übrigen nicht belegte) Hinweis des Beschwerdeführers, seine Ehefrau habe nach ihrem Besuchsaufenthalt die Schweiz fristgerecht wieder verlassen, soll dieser Aufenthalt doch vor mehr als 16 Jahren stattgefunden haben und kann daher fraglos nicht als Vergleich herangezogen werden.</w:t>
      </w:r>
    </w:p>
    <w:p>
      <w:r>
        <w:rPr>
          <w:b/>
        </w:rPr>
        <w:t>E. 6</w:t>
      </w:r>
    </w:p>
    <w:p>
      <w:r>
        <w:t>Aus den dargelegten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