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C-3244/2015 vom 2. Dezember 2015</w:t>
      </w:r>
    </w:p>
    <w:p>
      <w:r>
        <w:t>Bundesverwaltungsgericht, 2015-12-02, DE</w:t>
      </w:r>
    </w:p>
    <w:p>
      <w:r>
        <w:rPr>
          <w:b/>
        </w:rPr>
        <w:t xml:space="preserve">Quelle: </w:t>
      </w:r>
      <w:r>
        <w:t>https://mcp.opencaselaw.ch/entscheid/bvger_C-3244_2015</w:t>
      </w:r>
    </w:p>
    <w:p>
      <w:r>
        <w:t>FR: TAF C-3244/2015 du 2 décembre 2015</w:t>
      </w:r>
    </w:p>
    <w:p>
      <w:r>
        <w:t>IT: TAF C-3244/2015 del 2 dicembre 2015</w:t>
      </w:r>
    </w:p>
    <w:p>
      <w:pPr>
        <w:pStyle w:val="Heading2"/>
      </w:pPr>
      <w:r>
        <w:t>Regeste</w:t>
      </w:r>
    </w:p>
    <w:p>
      <w:r>
        <w:t>Rente</w:t>
      </w:r>
    </w:p>
    <w:p>
      <w:pPr>
        <w:pStyle w:val="Heading2"/>
      </w:pPr>
      <w:r>
        <w:t>Erwägungen</w:t>
      </w:r>
    </w:p>
    <w:p>
      <w:r>
        <w:rPr>
          <w:b/>
        </w:rPr>
        <w:t>E. 3</w:t>
      </w:r>
    </w:p>
    <w:p>
      <w:r>
        <w:t>Nachfolgend ist zu prüfen, ob die SAK das Rentengesuch zu Recht abgewiesen hat. 3.1.1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 3.1.2 Als massgebender Lohn gilt jedes Entgelt für in unselbständiger Stellung auf bestimmte oder unbestimmte Zeit geleistete Arbeit (Art. 5 Abs. 2 AHVG). Der Bundesrat kann Sozialleistungen sowie anlässlich besonderer Ereignisse erfolgende Zuwendungen eines Arbeitgebers an seine Arbeitnehmer vom Einbezug in den massgebenden Lohn ausnehmen (Art. 5 Abs. 4 AHVG). Nicht zum Erwerbseinkommen gehören Versicherungsleistungen bei Unfall, Krankheit oder Invalidität, ausgenommen die Taggelder nach Artikel 25 des Bundesgesetzes vom 19. Juni 1959 über die Invalidenversicherung (IVG) und nach Artikel 29 des Bundesgesetzes vom 19. Juni 1992 über die Militärversicherung (Art. 6 Abs. 2 lit. b AHVV). 3.1.3 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w:t>
      </w:r>
    </w:p>
    <w:p>
      <w:r>
        <w:rPr>
          <w:b/>
        </w:rPr>
        <w:t>E. 3.2</w:t>
      </w:r>
    </w:p>
    <w:p>
      <w:r>
        <w:t>Dem Beschwerdeführer wurden 11 Monate (Januar bis November 2009) Beitragsdauer angerechnet. Dies ist mit dem Auszug aus dem IK belegt. Belege in Bezug auf zusätzliche Beitragszeiten reichte der Beschwerdeführer nicht ein (vgl. Sachverhalt D.). Der Beschwerdeführer machte indes geltend, die geleisteten Beiträge hätten für das Jahr 2008 verbucht werden sollen. Diesen Umstand belegte er jedoch nicht. Diesbezüglich ist festzuhalten, dass dies zufolge der erst im Dezember 2008 erfolgten Einreise des Beschwerdeführers in die Schweiz ohnehin nicht zutreffen kann. Ausserdem würde es auch am Resultat nichts ändern, da die Mindestbeitragszeit damit immer noch nicht erfüllt wäre. Die Vorinstanz hat somit zu Recht verfügt, dass der Beschwerdeführer keinen Anspruch auf eine schweizerische Altersrente hat. Zusammenfassend ist somit festzuhalten, dass der Beschwerdeführer mangels Erfüllung der Mindestbeitragszeit keinen Anspruch auf eine schweizerische Altersrente hat. Eine allfällige Anrechnung der geleisteten Beiträge auf eine Rente der deutschen Rentenversicherung hätte der Beschwerdeführer bei dieser zu beantragen. Die Verfügung der SAK ist somit zu bestätigen und die Beschwerde im einzelrichterlichen Verfahren gemäss Art. 23 Abs. 2 VGG in Verbindung mit Art. 85bis Abs. 3 AHVG abzuweisen, soweit darauf einzutreten ist.</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