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C-3240/2021 vom 10. Juni 2021</w:t>
      </w:r>
    </w:p>
    <w:p>
      <w:r>
        <w:t>Bundesverwaltungsgericht, 2021-06-10, DE</w:t>
      </w:r>
    </w:p>
    <w:p>
      <w:r>
        <w:rPr>
          <w:b/>
        </w:rPr>
        <w:t xml:space="preserve">Quelle: </w:t>
      </w:r>
      <w:r>
        <w:t>https://mcp.opencaselaw.ch/entscheid/bvger_C-3240_2021_d20210610</w:t>
      </w:r>
    </w:p>
    <w:p>
      <w:r>
        <w:t>FR: TAF C-3240/2021 du 10 juin 2021</w:t>
      </w:r>
    </w:p>
    <w:p>
      <w:r>
        <w:t>IT: TAF C-3240/2021 del 10 giugno 2021</w:t>
      </w:r>
    </w:p>
    <w:p>
      <w:pPr>
        <w:pStyle w:val="Heading2"/>
      </w:pPr>
      <w:r>
        <w:t>Regeste</w:t>
      </w:r>
    </w:p>
    <w:p>
      <w:r>
        <w:t>Aufsichtsmittel | Berufliche Vorsorge, Aufsichtsmassnahmen, Umwandlung einer Aufsichtsanzeige in eine Aufsichtsbeschwerde, Verfügung BBSA vom 10. Juni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</w:t>
      </w:r>
    </w:p>
    <w:p>
      <w:r>
        <w:rPr>
          <w:b/>
        </w:rPr>
        <w:t>E. 2</w:t>
      </w:r>
    </w:p>
    <w:p>
      <w:r>
        <w:t>B._______, beide vertreten durch Christoph Zürcher, Rechtsanwalt, SOLVAS Advokatur Notariat Mediation, Beschwerdeführer, gegen C._______ Sammelstiftung BVG, vertreten durch Marco Strahm, Rechtsanwalt, und lic. iur. Kathrin Häcki, Rechtsanwältin, Walder Wyss AG, Beschwerdegegnerin, BBSA Bernische BVG- und Stiftungsaufsicht, Vorinstanz. Gegenstand Berufliche Vorsorge, Aufsichtsmassnahmen, Umwandlung einer Aufsichtsanzeige in eine Aufsichtsbeschwerde, Verfügung BBSA vom 10. Juni 2021.</w:t>
      </w:r>
    </w:p>
    <w:p>
      <w:r>
        <w:t>C-3240/2021 Seite 2 Das Bundesverwaltungsgericht stellt fest und erwägt, dass die Bernische BVG- und Stiftungsaufsicht BBSA (nachfolgend: Vor- instanz) mit Verfügung vom 10. Juni 2021 den Antrag von A._______ und B._______ auf Umwandlung der gegen die D._______, BVG-Sammelstif- tung (nachfolgend: D._______) eingereichten Anzeige vom 31. August 2020 in eine Aufsichtsbeschwerde abwies (BVGer-act. 1/3), dass A._______ und B._______ (nachfolgend: Beschwerdeführer) – als ehemalige Angestellte und Destinatäre der D._______ – diese Verfügung mit Beschwerde vom 12. Juli 2021 beim Bundesverwaltungsgericht (Ein- gang: 15. Juli 2021) anfochten mit dem Rechtsbegehren, die angefochtene Verfügung sei aufzuheben und die Vorinstanz sei anzuweisen, die Auf- sichtsanzeige vom 31. August 2020 als Stiftungsaufsichtsbeschwerde ent- gegenzunehmen und den Beschwerdeführern Parteirechte einzuräumen (BVGer-act. 1), dass in der Folge die Instruktion des Beschwerdeverfahrens durchgeführt wurde (BVGer-act. 2 ff.), dass gemäss Verfügung vom 9. Mai 2022 das hängige Beschwerdeverfah- ren mit der C._______ Sammelstiftung BVG als Beschwerdegegnerin fort- geführt wurde, nachdem die D._______ infolge Fusion in der C._______ Sammelstiftung BVG aufgegangen war, und gleichzeitig der Schriften- wechsel geschlossen wurde (BVGer-act. 28), dass die Beschwerdeführer mit jeweiliger schriftlicher Erklärung vom 22. September 2022 die Beschwerde vom 12. Juli 2021 zurückzogen (BVGer-act. 20 und 30), dass das Beschwerdeverfahren daher im einzelrichterlichen Verfahren als durch Rückzug gegenstandslos geworden abzuschreiben ist (Art. 23 Abs. 1 Bst. a VGG), dass die Verfahrenskosten in der Regel der unterliegenden Partei auferlegt werden (Art. 63 Abs. 1 VwVG), dass ein Rückzug der Beschwerde grundsätzlich als Unterliegen gilt (vgl. Urteil des BGer 2C_697/2018 vom 1. März 2019 E. 2.2; Urteil des BVGer C-5087/2020 vom 13. Januar 2021),</w:t>
      </w:r>
    </w:p>
    <w:p>
      <w:r>
        <w:t>C-3240/2021 Seite 3 dass die Verfahrenskosten ganz oder teilweise erlassen werden können, wenn ein Rechtsmittel ohne erheblichen Aufwand für das Gericht durch Rückzug erledigt wird (Art. 6 Bst. a des Reglements vom 21. Februar 2008 über die Kosten und Entschädigungen vor dem Bundesverwaltungsgericht [VGKE, SR 173.320.2]), dass dem Gericht im vorliegenden Fall – angesichts des durchgeführten doppelten Schriftenwechsels – für die bisherige Verfahrensführung bereits ein gewisser Aufwand entstanden ist, weshalb ein gänzlicher Erlass der Verfahrenskosten ausser Betracht fällt, dass die bisher aufgelaufenen Verfahrenskosten in der Höhe von Fr. 800.- (vgl. Art. 2 und 3 VGKE) daher den unterliegenden Beschwerdeführern auf- zuerlegen und dem geleisteten Kostenvorschuss von Fr. 3'000.- (BVGer- act. 4) zu entnehmen sind und der Restbetrag von Fr. 2'200.- nach Eintritt der Rechtskraft des vorliegenden Entscheides auf ein von den Beschwer- deführern zu bezeichnendes Konto zurückzuerstatten ist, dass die Beschwerdegegnerin angesichts des Verfahrensausgangs keine Verfahrenskosten zu tragen hat (Art. 63 Abs. 1 VwVG, e contrario) und auch der Vorinstanz keine Verfahrenskosten aufzuerlegen sind (Art. 63 Abs. 2 VwVG), dass gemäss Art. 15 VGKE, falls ein Verfahren gegenstandslos wird, das Gericht prüft, ob eine Parteientschädigung zuzusprechen ist, wobei für die Festsetzung der Parteientschädigung Art. 5 VGKE sinngemäss gilt, dass den unterliegenden Beschwerdeführern folglich keine Parteientschä- digung auszurichten ist (Art. 7 Abs. 1 VGKE, e contrario), dass der obsiegenden Beschwerdegegnerin, welche die Abweisung der vorliegenden Beschwerde beantragte (BVGer-act. 8, 15, 23), zulasten der Beschwerdeführer keine Parteientschädigung zuzusprechen ist, da ge- mäss bundesgerichtlicher Rechtsprechung Trägerinnen oder Versicherer der beruflichen Vorsorge grundsätzlich keinen Anspruch auf Parteientschä- digung haben (BGE 126 V 143 E. 4a), was laut Praxis des Bundesverwal- tungsgerichts auch im Rahmen von Aufsichtsstreitigkeiten analog gilt (vgl. statt vieler: Urteile des BVGer C-5611/2020 vom 26. Mai 2021 E. 6.4 sowie A-3808/2018 vom 14. August 2018 E. 4.3, je m.H.), dass die Vorinstanz als öffentlich-rechtliche Anstalt des Kantons Bern kei- nen Anspruch auf Parteientschädigung hat (vgl. Art. 7 Abs. 3 VGKE).</w:t>
      </w:r>
    </w:p>
    <w:p>
      <w:r>
        <w:t>C-3240/2021 Seite 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