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C-323/2013 vom 14. April 2014</w:t>
      </w:r>
    </w:p>
    <w:p>
      <w:r>
        <w:t>Bundesverwaltungsgericht, 2014-04-14, DE</w:t>
      </w:r>
    </w:p>
    <w:p>
      <w:r>
        <w:rPr>
          <w:b/>
        </w:rPr>
        <w:t xml:space="preserve">Quelle: </w:t>
      </w:r>
      <w:r>
        <w:t>https://mcp.opencaselaw.ch/entscheid/bvger_C-323_2013</w:t>
      </w:r>
    </w:p>
    <w:p>
      <w:r>
        <w:t>FR: TAF C-323/2013 du 14 avril 2014</w:t>
      </w:r>
    </w:p>
    <w:p>
      <w:r>
        <w:t>IT: TAF C-323/2013 del 14 aprile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VwVG, die von einer in Art. 33 VGG aufgeführten Behörde erlassen wurden. Darunter fallen u.a.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Gemäss Art. 67 Abs. 2 Bst. a AuG kann das BFM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3.1</w:t>
      </w:r>
    </w:p>
    <w:p>
      <w:r>
        <w:t>Wird gegen eine Person, die nicht das Bürgerrecht eines Mitgliedstaates der Europäischen Union besitzt, ein Einreiseverbot verhängt, so wird dies nach Massgabe der Bedeutung des Falles im Schengener Informationssystem (SIS) ausgeschrieben (vgl. Art. 21 und Art. 24 der SIS-II-Verordnung [Abl. L 381 vom 28. Dezember 2006, S. 4 - 23], in Kraft seit 9. April 2013 gemäss Beschluss des Rates 2013/158/EU vom 7. März 2013 [Abl. L 87 vom 27. März 2013, S. 10 - 11] i.V.m. Art. 52 Abs. 1 SIS-II-Verordnung]). Damit wird dem Betroffenen grundsätzlich die Einreise in das Hoheitsgebiet aller Schengen-Mitgliedstaaten verboten (vgl. Art. 5 Abs. 1 Bst. d sowie Art. 13 Abs. 1 Schengener Grenzkodex [SGK, Abl. L 105 vom 13. April 2006, S. 1 - 32]). Die Mitgliedstaaten können der betroffenen Person aus wichtigen Gründen oder aufgrund internationaler Verpflichtungen die Einreise in das eigene Hoheitsgebiet gestatten bzw. ihr ein Visum mit räumlich beschränkter Gültigkeit ausstellen (vgl. Art. 13 Abs. 1 i.V.m. Art. 5 Abs. 4 Bst. c SGK; Art. 25 Abs. 1 Bst. a [ii] Visakodex, Abl. L 243 vom 15. September 2009).</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Rainer J. Schweizer/Patrick Sutter/Nina Widmer, in: Rainer J. Schweizer [Hrsg.], Sicherheits- und Ordnungsrecht des Bundes, SBVR Bd. III/1, Basel 2008, Teil B, Rz. 12 und 13 mit Hinweisen).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(Bst. a) oder wenn öffentlich-rechtliche oder privatrechtliche Verpflichtungen nicht erfüllt werden (Bst. b). Bestand ein solches Verhalten in der Vergangenheit, so wird die Gefahr entsprechender künftiger Störungen von Gesetzes wegen vermutet (vgl. Botschaft, a.a.O. S. 3760; vgl. auch Urteil des Bundesverwaltungsgerichts C-3213/2014 vom 31. Januar 2014 E. 5 mit Hinweisen).</w:t>
      </w:r>
    </w:p>
    <w:p>
      <w:r>
        <w:rPr>
          <w:b/>
        </w:rPr>
        <w:t>E. 4</w:t>
      </w:r>
    </w:p>
    <w:p>
      <w:r>
        <w:t>Die Vorinstanz hat das gegen A.______ verhängte Einreiseverbot damit begründet, dass er in der Schweiz wegen Täuschung der Behörden zu Klagen Anlass gegeben habe, und diesbezüglich auf das im Aufenthaltsverfahren ergangene Urteil des Bundesgerichts 2C_375/2012 vom 3. September 2012 verwiesen. Das Bundesgericht hat in diesem Urteil festgestellt, der Beschwerdeführer habe es unterlassen, die Ausländerbehörden über seine wahren familiären Verhältnisse - nämlich die Parallelbeziehung zur Mutter seiner Kinder - zu informieren, und habe hierdurch die Niederlassungsbewilligung erlangt. Mit seinem täuschenden Verhalten habe er nämlich die Verpflichtung missachtet, den Behörden über alles Auskunft zu geben, was für den Bewilligungsentscheid hätte massgeblich sein können (vgl. E. 3.1 bis 3.4 des zitierten Urteils). Aus diesen Urteilserwägungen ergibt sich klar, dass mit dem mutwilligen Ignorieren der gegenüber den Ausländerbehörden bestehenden Auskunftspflicht ein Verstoss gegen die öffentliche Sicherheit und Ordnung einherging (vgl. insbesondere den Wortlaut von Art. 80 Abs. 1 Bst. b VZAE). Die eigene Überzeugung des Beschwerdeführers, von ihm werde künftig keine entsprechende Gefahr mehr ausgehen, ist aufgrund der gegenteiligen gesetzlichen Vermutung (vgl. E. 3.2) nicht massgeblich. Insoweit kann der Vorinstanz auch nicht vorgeworfen werden, auf den Umstand der künftigen Gefährdung durch ihn nicht näher eingegangen zu sein. Dass der Beschwerdeführer einen Fernhaltegrund, zumindest im Sinne von Art. 67 Abs. 2 Bst. b AuG, gesetzt hat, ist folglich nicht in Abrede zu stellen.</w:t>
      </w:r>
    </w:p>
    <w:p>
      <w:r>
        <w:rPr>
          <w:b/>
        </w:rPr>
        <w:t>E. 5</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Zürich und St. Gallen 2010, S. 138 f.).</w:t>
      </w:r>
    </w:p>
    <w:p>
      <w:r>
        <w:rPr>
          <w:b/>
        </w:rPr>
        <w:t>E. 5.1</w:t>
      </w:r>
    </w:p>
    <w:p>
      <w:r>
        <w:t>Der Begründung der angefochtenen Verfügung hat der Beschwerdeführer entgegengehalten, dass er sich während seines Aufenthalts in der Schweiz nichts habe zuschulden kommen lassen. Dabei mag zutreffen, dass zu seiner Person weder Einträge im Straf- noch im Betreibungsregister existieren und dass er in der Schweiz nie Sozialhilfe bezogen hat; die Schlussfolgerung, dass er sich in der Schweiz klaglos verhalten hätte, lässt sich daraus, wie dargelegt (E. 4), aber nicht ziehen. Insbesondere war sein nach aussen hin unauffälliges Verhalten mit Grund dafür, dass seine Aufenthaltsbewilligung mehrmals verlängert wurde, dies, obwohl er die Ehe mit der schweizerischen Ehefrau spätestens nach zwei Jahren bloss noch aus migrationsrechtlichen Gründen aufrecht erhielt (vgl. zitiertes Urteil des Bundesgerichts vom 3. September 2012 E. 3.2 und 3.4). Dasselbe Verhalten führte auch dazu, dass ihm nach rund fünfjährigem Aufenthalt in der Schweiz die Niederlassungsbewilligung erteilt wurde. So gesehen spricht das angeblich vorbildliche Verhalten des Beschwerdeführers nicht zu seinen Gunsten, sondern war lediglich Voraussetzung für den Erhalt der Niederlassungsbewilligung und die damit legitim scheinende Möglichkeit, seine Familie aus Serbien nachzuziehen.</w:t>
      </w:r>
    </w:p>
    <w:p>
      <w:r>
        <w:rPr>
          <w:b/>
        </w:rPr>
        <w:t>E. 5.2</w:t>
      </w:r>
    </w:p>
    <w:p>
      <w:r>
        <w:t>Die gegen den Beschwerdeführer verhängte Fernhaltemassnahme umfasst eine Dauer von fünf Jahren. Sie liegt damit an der gemäss Art. 67 Abs. 3 Satz 1 AuG zulässigen Obergrenze. Zum Nachteil des Beschwerdeführers fällt jedoch ins Gewicht, dass er über mehrere Jahre hinweg den Irrtum der Ausländerbehörden über die mutmasslich intakte Ehe mit seiner schweizerischen Ehefrau aufrecht erhielt und sich hierdurch erhebliche aufenthaltsrechtliche Vorteile zu verschaffen versuchte. Die fünfjährige Dauer des Einreiseverbots erscheint damit angemessen. Das vom Beschwerdeführer geltend gemachte Interesse, Kontakt zu seinen in der Schweiz und im übrigen Schengenraum lebenden Verwandten pflegen zu können, ist demgegenüber nicht gewichtig genug, um die Dauer der Massnahme in Frage stellen zu können, erst recht deshalb nicht, weil seine engsten Familienangehörigen - Ehefrau und Kinder - in Serbien leben.</w:t>
      </w:r>
    </w:p>
    <w:p>
      <w:r>
        <w:rPr>
          <w:b/>
        </w:rPr>
        <w:t>E. 5.3</w:t>
      </w:r>
    </w:p>
    <w:p>
      <w:r>
        <w:t>Eine wertende Gewichtung der sich entgegenstehenden Interessen führt damit zum Schluss, dass das Einreiseverbot dem Grunde und der Dauer nach zu bestätigen ist. Gemäss Art. 24 Abs. 1 und 3 SIS-II-Verordnung sind auch die Voraussetzungen für die Ausschreibung zur Einreiseverweigerung im Schengener Informationssystem gegeben.</w:t>
      </w:r>
    </w:p>
    <w:p>
      <w:r>
        <w:rPr>
          <w:b/>
        </w:rPr>
        <w:t>E. 6</w:t>
      </w:r>
    </w:p>
    <w:p>
      <w:r>
        <w:t>Aus diesen Erwägungen folgt, dass die angefochtene Verfügung Bundesrecht nicht verletzt (vgl. Art. 49 VwVG). Die Beschwerde ist demzufolge abzuweisen.</w:t>
      </w:r>
    </w:p>
    <w:p>
      <w:r>
        <w:rPr>
          <w:b/>
        </w:rPr>
        <w:t>E. 7</w:t>
      </w:r>
    </w:p>
    <w:p>
      <w:r>
        <w:t>Entsprechend dem Ausgang des Verfahrens wird der unterlegene Beschwerdeführer kostenpflichtig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