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C-3235/2012 vom 11. Dezember 2013</w:t>
      </w:r>
    </w:p>
    <w:p>
      <w:r>
        <w:t>Bundesverwaltungsgericht, 2013-12-11, FR</w:t>
      </w:r>
    </w:p>
    <w:p>
      <w:r>
        <w:rPr>
          <w:b/>
        </w:rPr>
        <w:t xml:space="preserve">Quelle: </w:t>
      </w:r>
      <w:r>
        <w:t>https://mcp.opencaselaw.ch/entscheid/bvger_C-3235_2012</w:t>
      </w:r>
    </w:p>
    <w:p>
      <w:r>
        <w:t>FR: TAF C-3235/2012 du 11 décembre 2013</w:t>
      </w:r>
    </w:p>
    <w:p>
      <w:r>
        <w:t>IT: TAF C-3235/2012 del 11 dicembre 2013</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 et que l'avance sur les frais de procédure a été dûment acquittée.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 l'OAI-BL a enregistré la demande, l'a instruite et procédé à la révision dont la décision, notifiée par l'OAIE conformément à la disposition précitée, a été déférée devant le Tribunal de céans.</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3.2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4</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 selon la jurisprudence, le Tribunal de céans doit se limiter à examiner la situation de fait existant jusqu'à la date de la décision attaquée (ATF 130 V 4450 consid. 1.2).</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w:t>
      </w:r>
    </w:p>
    <w:p>
      <w:r>
        <w:rPr>
          <w:b/>
        </w:rPr>
        <w:t>E. 6.1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w:t>
      </w:r>
    </w:p>
    <w:p>
      <w:r>
        <w:rPr>
          <w:b/>
        </w:rPr>
        <w:t>E. 6.2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6.3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6.4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7.1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7.2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7.3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7.4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8</w:t>
      </w:r>
    </w:p>
    <w:p>
      <w:r>
        <w:t>En l'espèce, le recourant a bénéficié d'une demi-rente d'invalidité à partir du 1er mars 2008 selon la décision du 16 février 2009 de l'OAIE (OAI pce 39). La question de savoir si le degré d'invalidité du recourant a subi une modification doit par conséquent être jugée en comparant les faits tels qu'ils se présentaient le 16 février 2009 et ceux qui ont existé à la date de la décision litigieuse du 21 mai 2012.</w:t>
      </w:r>
    </w:p>
    <w:p>
      <w:r>
        <w:rPr>
          <w:b/>
        </w:rPr>
        <w:t>E. 9</w:t>
      </w:r>
    </w:p>
    <w:p>
      <w:r>
        <w:t>Alors que l'OAIE base la suppression de la rente entière à partir du 1er juillet 2012 sur une amélioration de l'état de santé psychique à partir de février 2011 (date de l'expertise), le recourant argue que sa santé est restée la même et qu'il n'est pas en état d'exercer une activité lucrative quelle qu'elle soit.</w:t>
      </w:r>
    </w:p>
    <w:p>
      <w:r>
        <w:rPr>
          <w:b/>
        </w:rPr>
        <w:t>E. 9.1</w:t>
      </w:r>
    </w:p>
    <w:p>
      <w:r>
        <w:t>Le recourant avait déjà mentionné dans sa demande de prestations du 6 février 2008 qu'il avait eu un infarctus du myocarde en juin 2005 et était dépendant d'une ventilation par pression positive continue depuis octobre 2007 (OAI pce 1). Au cours de la procédure de recours devant le Tribunal de céans, il a produit trois certificats médicaux confirmant ces troubles, mais n'indiquant pas une péjoration de l'état somatique (TAF pce 5). Lors de l'octroi de la rente en 2009, c'était le trouble dépressif moyen qui avait été déterminant car, selon le rapport d'expertise B._______ du 17 septembre 2008 (OAI pce 26), il entravait la capacité de travail dans une mesure de 50 %. Les experts avaient cependant indiqué que ce trouble dépressif moyen pourrait s'améliorer avec une thérapie psychiatrique adéquate. Ils avaient aussi relevé que l'arthrose du genou gauche et le syndrome lumbo-vertébral entravaient la capacité de travail d'environ 20 %, mais ne devaient pas être additionnés à l'incapacité psychiatrique et que les problèmes cardiaques et d'apnée nocturne n'entravaient pas la capacité de travail. Selon les documents produits par l'assuré, les troubles somatiques sont restés les mêmes, c'est donc à juste titre que l'OAI-BL n'a ordonné qu'une expertise psychiatrique. Celle-ci a à nouveau eu lieu à B._______ et a fait apparaître une nette amélioration de l'état de santé psychique puisque, sous thérapie psychiatrique bien conduite, l'épisode dépressif moyen constaté en septembre 2008 était en rémission presque totale de sorte qu'il n'y avait plus d'incapacité de travail du point de vue psychiatrique à condition que l'activité respecte les limitations dues à l'agoraphobie (OAI pce 55).</w:t>
      </w:r>
    </w:p>
    <w:p>
      <w:r>
        <w:rPr>
          <w:b/>
        </w:rPr>
        <w:t>E. 9.2</w:t>
      </w:r>
    </w:p>
    <w:p>
      <w:r>
        <w:t>Le Tribunal de céans constate que l'expertise psychiatrique B._______ du 25 mai 2011 (OAI pce 55) est consistante, bien motivée et répond à tous les critères posés par la jurisprudence. Il considère dès lors que l'état de santé psychique de l'assuré s'est, grâce à une thérapie bien conduite, nettement amélioré depuis l'octroi de la demi-rente et que l'état de santé somatique est resté stable, les problèmes orthopédiques, coronaires et d'apnée du sommeil étant déjà présents en 2008. L'assuré ne présentait donc au moment de la décision attaquée (et depuis février 2011) plus d'incapacité de travail du point de vue psychiatrique, la capacité de travail n'étant plus que limitée dans une mesure de 20 % par les diagnostics somatiques déjà présents lors de l'expertise polydisciplinaire du 17 septembre 2008 (OAI pce 26).</w:t>
      </w:r>
    </w:p>
    <w:p>
      <w:r>
        <w:rPr>
          <w:b/>
        </w:rPr>
        <w:t>E. 10.1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 (ATF 126 V 75 consid. 5). Le juge des assurances sociales ne peut, sans motif pertinent, substituer son appréciation à celle de l'administration (ATF 126 cité consid. 6).</w:t>
      </w:r>
    </w:p>
    <w:p>
      <w:r>
        <w:rPr>
          <w:b/>
        </w:rPr>
        <w:t>E. 10.2</w:t>
      </w:r>
    </w:p>
    <w:p>
      <w:r>
        <w:t>L'OAIE se base aussi bien pour le salaire sans invalidité que pour le salaire d'invalide sur les données retenues par les enquêtes suisses sur la structure des salaires (ESS), publiées par l'Office fédéral de la statistique (OFS). Il retient un salaire sans invalidité de 71'311 francs et un salaire d'invalide de 54'197 francs avec un taux d'occupation de 80 % après un abattement de 5 % pour tenir compte des limitations fonctionnelles. La perte de gain étant de 17'114 francs, il résulte de la comparaison de salaires un taux d'invalidité de 24 %. Ce procédé est correct, le recourant n'a du reste pas critiqué les chiffres retenus de l'OAIE dans ses écritures. Le taux de 24 % ne donne plus droit à une rente d'invalidité suisse.</w:t>
      </w:r>
    </w:p>
    <w:p>
      <w:r>
        <w:rPr>
          <w:b/>
        </w:rPr>
        <w:t>E. 11.1</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w:t>
      </w:r>
    </w:p>
    <w:p>
      <w:r>
        <w:rPr>
          <w:b/>
        </w:rPr>
        <w:t>E. 11.2</w:t>
      </w:r>
    </w:p>
    <w:p>
      <w:r>
        <w:t>Même si le recourant avait déjà atteint l'âge de 55 ans en février 2011 lors de la constatation de l'amélioration de l'état de santé (moment déterminant selon la jurisprudence, cf. ATF 138 V 457 consid. 3.3), le Tribunal considère qu'une réadaptation par soi-même peut être exigée puisque l'assuré aurait pu continuer à exercer une activité à 50 % alors qu'il était au bénéfice de la demi-rente et aurait pu augmenter son taux d'occupation après l'amélioration de son état de santé.</w:t>
      </w:r>
    </w:p>
    <w:p>
      <w:r>
        <w:rPr>
          <w:b/>
        </w:rPr>
        <w:t>E. 12</w:t>
      </w:r>
    </w:p>
    <w:p>
      <w:r>
        <w:t>C'est donc à raison que l'OAIE a supprimé la demi-rente d'invalidité. Cette suppression peut prendre effet au 1er juillet 2012 étant donné que l'amélioration a été constatée en février 2011 et qu'elle durait déjà plus de trois mois à la date de la suppression de la rente (cf. ATF 129 V 370 confirmé par arrêt du Tribunal fédéral 8C_451/2010 du 11 novembre 2010). Il appert de ce qui précède que, le recours étant manifestement infondé, il doit être rejeté et la décision confirmée dans une procédure à juge unique (art. 85bis al. 3 de la loi fédérale du 20 décembre 1946 sur l'assurance-vieillesse et survivants [LAVS, RS 831.10], applicable par le renvoi de l'art. 69 al. 2 LAI).</w:t>
      </w:r>
    </w:p>
    <w:p>
      <w:r>
        <w:rPr>
          <w:b/>
        </w:rPr>
        <w:t>E. 13.1</w:t>
      </w:r>
    </w:p>
    <w:p>
      <w:r>
        <w:t>Vu l'issue de la cause, les frais de procédure, fixés par le Tribunal de céans à 400 francs, sont mis à la charge du recourant débouté (art. 69 al. 2 LAI et art. 3 let. b du règlement du 21 février 2008 concernant les frais, dépens et indemnités fixés par le Tribunal administratif fédéral [FITAF, RS 173.320.02]). Ce montant est compensé par l'avance de frais du même montant déjà versée.</w:t>
      </w:r>
    </w:p>
    <w:p>
      <w:r>
        <w:rPr>
          <w:b/>
        </w:rPr>
        <w:t>E. 13.2</w:t>
      </w:r>
    </w:p>
    <w:p>
      <w:r>
        <w:t>Il n'est pas alloué de dépens (art. 64 al. 1PA a contrario en relation avec les art. 7 ss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