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C-3230/2009 vom 25. Mai 2010</w:t>
      </w:r>
    </w:p>
    <w:p>
      <w:r>
        <w:t>Bundesverwaltungsgericht, 2010-05-25, IT</w:t>
      </w:r>
    </w:p>
    <w:p>
      <w:r>
        <w:rPr>
          <w:b/>
        </w:rPr>
        <w:t xml:space="preserve">Quelle: </w:t>
      </w:r>
      <w:r>
        <w:t>https://mcp.opencaselaw.ch/entscheid/bvger_C-3230_2009</w:t>
      </w:r>
    </w:p>
    <w:p>
      <w:r>
        <w:t>FR: TAF C-3230/2009 du 25 mai 2010</w:t>
      </w:r>
    </w:p>
    <w:p>
      <w:r>
        <w:t>IT: TAF C-3230/2009 del 25 maggio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w:t>
      </w:r>
    </w:p>
    <w:p>
      <w:r>
        <w:rPr>
          <w:b/>
        </w:rPr>
        <w:t>E. 5</w:t>
      </w:r>
    </w:p>
    <w:p>
      <w:r>
        <w:t>Il periodo di cognizione giudiziaria dello scrivente Tribunale amministrativo federale si estende fino al 15 aprile 2009, data dell'impugnata decisione. Il giudice della assicurazioni sociali analizza, infatti, la legalità della decisione impugnata, in generale, secondo lo stato di fatto esistente al momento in cui la decisione in lite è stata resa (DTF 130 V citata).</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8.1</w:t>
      </w:r>
    </w:p>
    <w:p>
      <w:r>
        <w:t>Dopo il rimpatrio, l'interessato ha continuato a lavorare come muratore. Dall'ottobre 1999 era alle dipendenze di un'impresa di costruzioni di F._______ (BG) in ragione di 40 ore settimanali per un salario adeguato alla sua qualifica. Dal 4 settembre 2007 ha modificato il suo impegno lavorativo evitando certi sforzi e grossi sbalzi di temperatura, ma non ha più lavorato dopo il 25 settembre successivo (intervento cardiochirurgico) ed è stato licenziato con effetto 16 aprile 2008 (doc. 9).</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9.1</w:t>
      </w:r>
    </w:p>
    <w:p>
      <w:r>
        <w:t>Nel caso in esame è stata evidenziata la diagnosi di esiti di by-pass aortocoronarico (triplice; settembre 2007) per coronaropatia bivasale (aorta ed arterie iliache), con complicanze settiche e polmonari, aterosclerosi dei grossi vasi, stenosi segmentaria dell'arteria femorale superficiale sinistra, enterocolite cronica aspecifica, artrite sieronegativa con febbricola persistente, discopatia L4-L5, lombosciatalgie recidivanti, sindrome depressiva in trattamento (cfr. perizia medica dettagliata del 14 febbraio 2008, doc. 32; rapporti del Dott. Longhi (doc. 30, 43, 57), relazione medica dei Dott.ri Bottarini ed Osculati del 9 dicembre 2009).</w:t>
      </w:r>
    </w:p>
    <w:p>
      <w:r>
        <w:rPr>
          <w:b/>
        </w:rPr>
        <w:t>E. 9.2</w:t>
      </w:r>
    </w:p>
    <w:p>
      <w:r>
        <w:t>Per quanto concerne le conseguenze invalidanti delle menzionate affezioni, il medico dell'INPS pone un tasso d'invalidità del 67%, pur osservando che vi sarebbe una capacità del 100% in attività sostitutive (doc. 32, cifra 11.6); il medico dell'UAIE (Dott. Lehmann) ritiene l'assicurato in grado di svolgere attività di ripiego, leggere e/o semisedentarie in misura completa.</w:t>
      </w:r>
    </w:p>
    <w:p>
      <w:r>
        <w:rPr>
          <w:b/>
        </w:rPr>
        <w:t>E. 10.1</w:t>
      </w:r>
    </w:p>
    <w:p>
      <w:r>
        <w:t>Il servizio medico dell'UAIE ritiene che non sussista una perdita di guadagno invalidante, dal momento che l'interessato potrebbe svolgere un'attività di sostituzione. Ora, già dal punto di vista diagnostico, sussistono diversi elementi che lasciano supporre che, almeno a prima vista, lo stato di salute dell'interessato non sia conciliabile con lo svolgimento al 100% di lavori di ripiego, seppur leggeri e/o semisedentari, come richiesto dal servizio medico dell'UAIE.</w:t>
      </w:r>
    </w:p>
    <w:p>
      <w:r>
        <w:rPr>
          <w:b/>
        </w:rPr>
        <w:t>E. 10.2</w:t>
      </w:r>
    </w:p>
    <w:p>
      <w:r>
        <w:t>Prima della definitiva cessazione dell'attività lucrativa, ossia prima dell'intervento indispensabile di by-pass aortocoronarico (fine settembre 2007), le condizioni di salute di A._______ erano piuttosto compromesse. Si era in presenza, allora, di un grave processo infiammatorio intestinale. La situazione generale si è poi aggravata con la patologia cardiaca i cui primi sintomi si sono manifestati a metà del 2007. A queste due affezioni, di rilievo, si aggiunge un quadro di artrite sieronegativa che, oltre a limitazioni funzionali delle estremità degli arti superiori, causerebbe una ricorrente febbricola (non è però sempre chiaro se la febbre provenga dall'affezione artropatica infiammatoria o da quella intestinale o, verosimilmente, da tutte e due). Inoltre, l'assicurato è portatore di fenomeni di lombosciatalgia su di una base di protrusioni discali multiple. Un recente certificato neurologico (21 ottobre 2009, posteriore alla data dell'impugnata decisione) attesta una grave sindrome lombalgica comportante una limitazione funzionale dolorosa in un quadro di diffusa spondilosi lombare con discopatie multiple. Infine si aggiunge una forma di sindrome ansio-depressiva sorta nel 2008.</w:t>
      </w:r>
    </w:p>
    <w:p>
      <w:r>
        <w:rPr>
          <w:b/>
        </w:rPr>
        <w:t>E. 10.3</w:t>
      </w:r>
    </w:p>
    <w:p>
      <w:r>
        <w:t>A fronte di questo complesso patologico che interessa più organi ed apparati, l'amministrazione avrebbe dovuto accertare in modo completo ed approfondito la problematica medica e l'influenza della stessa sulla capacità di lavoro e di guadagno del nominato. In particolare, mancando persino la cartella clinica relativa all'intervento di by-pass di fine settembre 2007, risultava necessario richiedere un'indagine cardiologica completa, munita di ECG, ECG da sforzo, ecocardiogramma e rapporto cardiologico riassuntivo indicante la classe NYHA. Un'indagine circa la circolazione periferica agli arti inferiori sarebbe stata opportuna. Dal punto di vista gastroenterologico era necessario acquisire una dettagliata relazione specialistica che facesse luce sui disturbi attuali e sulle conseguenze sul piano fisico della patologia erosiva-infiammatoria (febbre, astenia, dimagrimento eccessivo, presenza costante di dolori addominali). Dal lato ortopedico/reumatologico andava chiarito il problema dell'artrite sieronegativa e della presenza costante o meno di febbri ricorrenti. Se quest'ultima eventualità fosse ammessa, mal si vede come l'interessato possa regolarmente svolgere, addirittura al cento per cento come lo pretende il medico dell'UAIE, un'attività di sostituzione. In questo caso dunque si doveva procedere a tutti quegli esami specifici e richiedere un rapporto reumatologico/ortopedico che comprendesse anche l'analisi della problematica infiammatoria lombare. Dato infine che già in sede della perizia medica particolareggiata del 14 febbraio 2008 si accenna a turbe d'ansia (doc. 32, cifra 4.11), patologia confermata in sede ricorsuale, un esame specifico psichiatrico apparirebbe pure utile.</w:t>
      </w:r>
    </w:p>
    <w:p>
      <w:r>
        <w:rPr>
          <w:b/>
        </w:rPr>
        <w:t>E. 10.4</w:t>
      </w:r>
    </w:p>
    <w:p>
      <w:r>
        <w:t>Nel caso in esame questi accertamenti non sono stati effettuati. Certo, l'incarto contiene una serie di esami oggettivi, ma questi non sono ripresi in una buona perizia che si esprima sulle conseguenze invalidanti delle affezioni riscontrate. Si può invece ritenere che, a fronte delle molteplici patologie in esame, l'univoco ma non convincente parere del Dott. Lehmann, che ritiene l'assicurato abile al cento per cento in attività di ripiego, non può essere condiviso.</w:t>
      </w:r>
    </w:p>
    <w:p>
      <w:r>
        <w:rPr>
          <w:b/>
        </w:rPr>
        <w:t>E. 11.1</w:t>
      </w:r>
    </w:p>
    <w:p>
      <w:r>
        <w:t>Ora, fatte queste considerazioni, il collegio giudicante si trova nell'impossibilità di determinare la misura dell'eventuale incapacità di lavoro subita dall'interessato e da quando questa invalidità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dal settembre 2007 (cessazione dell'attività lucrativa) fino alla data dell'impugnata decisione (15 aprile 2009). L'UAIE emanerà poi un nuovo provvedimento impugnabile. A tale fine il ricorrente dovrà essere sottoposto a tutti quegli accertamenti indicati al considerando 10.3. L'incarto sarà poi inviato ad un altro medico dell'UAIE, il quale si pronuncerà in merito all'evoluzione dell'incapacità al lavoro fra la data di cessazione definitiva dell'attività ed il 15 aprile 2009 (impugnata decisione), nonché in merito all'attività professionale che il ricorrente avrebbe potuto espletare nel periodo suddetto. Se del caso, l'amministrazione effettuerà un'adeguata e circostanziata indagine comparativa dei redditi.</w:t>
      </w:r>
    </w:p>
    <w:p>
      <w:r>
        <w:rPr>
          <w:b/>
        </w:rPr>
        <w:t>E. 12.1</w:t>
      </w:r>
    </w:p>
    <w:p>
      <w:r>
        <w:t>Visto l'esito del ricorso, non vengono prelevate spese processuali. La domanda di esenzione da tali spese diventa quindi priva d'oggetto.</w:t>
      </w:r>
    </w:p>
    <w:p>
      <w:r>
        <w:rPr>
          <w:b/>
        </w:rPr>
        <w:t>E. 12.2</w:t>
      </w:r>
    </w:p>
    <w:p>
      <w:r>
        <w:t>In base all'art. 64 PA, l'autorità di ricorso, se ammette il ricorso in tutto o in parte, può assegnare al ricorrente un'indennità per le spese indispensabili e relativamente elevate che ha sopportato. Nel caso in esame, vista la memoria di ricorso, redatta dal Patronato INAS, la memoria di replica, redatta dall'attuale rappresentante e la documentazione esibita (con la replica), si giustifica riconoscere alla parte ricorrente un'indennità per spese ripetibili di Fr. 1'500.-,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