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C-322/2006 vom 23. April 2009</w:t>
      </w:r>
    </w:p>
    <w:p>
      <w:r>
        <w:t>Bundesverwaltungsgericht, 2009-04-23, FR</w:t>
      </w:r>
    </w:p>
    <w:p>
      <w:r>
        <w:rPr>
          <w:b/>
        </w:rPr>
        <w:t xml:space="preserve">Quelle: </w:t>
      </w:r>
      <w:r>
        <w:t>https://mcp.opencaselaw.ch/entscheid/bvger_C-322_2006</w:t>
      </w:r>
    </w:p>
    <w:p>
      <w:r>
        <w:t>FR: TAF C-322/2006 du 23 avril 2009</w:t>
      </w:r>
    </w:p>
    <w:p>
      <w:r>
        <w:t>IT: TAF C-322/2006 del 23 aprile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1.6</w:t>
      </w:r>
    </w:p>
    <w:p>
      <w:r>
        <w:t>A._______ a qualité pour recourir (cf. art. 48 al. 1 PA). Présenté dans la forme et les délais prescrits par la loi, le recours est recevable (cf. art. 50 et art. 52 PA).</w:t>
      </w:r>
    </w:p>
    <w:p>
      <w:r>
        <w:rPr>
          <w:b/>
        </w:rPr>
        <w:t>E. 1.7</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1.3 ci-dessus) régnant au moment où elle statue (cf. consid. 1.2 de l'arrêt du Tribunal fédéral 2A.451/2002 du 28 mars 2003, partiellement publié [ATF 129 II 215]).</w:t>
      </w:r>
    </w:p>
    <w:p>
      <w:r>
        <w:rPr>
          <w:b/>
        </w:rPr>
        <w:t>E. 2.1</w:t>
      </w:r>
    </w:p>
    <w:p>
      <w:r>
        <w:t>L'intéressée a fait valoir en premier lieu que la décision attaquée était insuffisamment motivée, dès lors que l'ODM n'a pris en considération aucun des faits personnels qu'elle avait invoqués à l'appui de sa demande (absence de liens personnels avec sa famille, disparition de toutes attaches au Maroc, centre d'intérêt personnel et professionnel en Suisse, résidence de l'un de ses frères en Belgique). L'obligation de motiver les décisions est fixée à l'art. 29 al. 2 de la Constitution fédérale du 18 avril 1999 (Cst, RS 101), cette obligation est cependant définie avant tout par les dispositions spéciales de procédure et, en particulier, par l'art. 35 PA qui n'en fixe toutefois pas les limites. Selon le premier alinéa de la disposition précitée, les autorités sont tenues de motiver leurs décisions écrites, même lorsqu'elles sont notifiées sous forme de lettre. Doctrine et jurisprudence admettent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(ATF 126 I 97 consid. 2b ; Jurisprudence des autorités administratives de la Confédération [JAAC] 69.9). Il faut que les parties puissent se rendre compte de la portée de la décision prise à leur égard et, partant, se déterminer en toute connaissance de cause sur l'opportunité d'un recours (cf. ATF 121 I 57 consid. 2c et références citées; JAAC 59.89, 46.54 et références citées; Semaine judiciaire, 1989 no 6, p. 109 et 1987 no 39 p. 647s; Mark E. Villiger, Die Pflicht zur Begründung von Verfügungen, in Schweizerisches Zentralblatt für Staats- und Verwaltungsrecht [ZBl] 4/1989 p. 139s; André Grisel, Traité de droit administratif, Neuchâtel 1984, vol. I et II, p. 374s et 840s; Arthur Haefliger, Alle Schweizer sind vor dem Gesetze gleich, 1985, p. 147s; Thomas Cottier, Der Anspruch auf rechtliches Gehör, Recht 1984, no 4, p. 126s). Il suffit que les explications, bien que sommaires, permettent de saisir les éléments sur lesquels l'autorité s'est fondée (cf. ATF 121 précité, 117 Ib 86 consid. 4, 114 Ia 242 consid. 2d, 98 Ib 195 consid. 2 et arrêts cités). L'étendue de la motivation se définit donc selon les circonstances du cas particulier.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112 Ia 110 consid. 2b; JAAC 62.28, 59.89; PIERRE MOOR, Droit administratif, vol. II : Les actes administratifs et leur contrôle, Berne, 1991, no 2.2.8.2, p. 198 et références citées).</w:t>
      </w:r>
    </w:p>
    <w:p>
      <w:r>
        <w:rPr>
          <w:b/>
        </w:rPr>
        <w:t>E. 2.2</w:t>
      </w:r>
    </w:p>
    <w:p>
      <w:r>
        <w:t>Dans le cas d'espèce, s'il est vrai que, dans la motivation de sa décision du 28 novembre 2005, l'ODM a énoncé de manière assez synthétique la situation personnelle de la recourante, cette autorité y a néanmoins clairement exposé les motifs pour lesquelles elle considérait que celle-ci ne remplissait pas les conditions d'une exception aux mesures de limitation au sens de l'art. 13 let. f OLE (en se référant notamment à la jurisprudence du Tribunal fédéral relative à cette disposition) et en relevant par ailleurs que la recourante avait des liens socioculturels prépondérants avec sa patrie. Il appert au surplus que, sur la base des éléments figurant dans ladite décision, l'intéressée était en mesure de saisir le fondement essentiel que l'autorité de première instance avait retenu à l'appui de sa décision. Preuve en est le mémoire de recours circonstancié qu'elle a déposé contre cette décision. De plus, la recourante a eu largement la possibilité d'exposer ses arguments dans le cadre de la procédure de recours et elle a en particulier eu l'occasion de prendre position de façon adéquate sur le préavis de l'ODM, dans lequel l'autorité intimée a exposé de manière plus substantielle les éléments qui avaient motivé sa décision (cf. ATF 116 V 39 consid. 4b). Aussi le grief soulevé par la recourante au sujet de l'insuffisance de motivation doit-il être écarté.</w:t>
      </w:r>
    </w:p>
    <w:p>
      <w:r>
        <w:rPr>
          <w:b/>
        </w:rPr>
        <w:t>E. 3.1</w:t>
      </w:r>
    </w:p>
    <w:p>
      <w:r>
        <w:t>Ne sont pas comptés dans les nombres maximums les étrangers qui obtiennent une autorisation de séjour dans un cas personnel d'extrême gravité ou en raison de considérations de politique générale (art. 13 let. f OLE).</w:t>
      </w:r>
    </w:p>
    <w:p>
      <w:r>
        <w:rPr>
          <w:b/>
        </w:rPr>
        <w:t>E. 3.2</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l'OCP-GE dans sa prise de position du 1er mars 2005.</w:t>
      </w:r>
    </w:p>
    <w:p>
      <w:r>
        <w:rPr>
          <w:b/>
        </w:rPr>
        <w:t>E. 3.3</w:t>
      </w:r>
    </w:p>
    <w:p>
      <w:r>
        <w:t>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 pour l'ODM et le Tribunal (cf. art. 40 al. 1 et 99 LEtr en relation avec l'art. 85 OASA; voir également le chiffre 1.3.2 des Directives et Commentaires de l'ODM, en ligne sur le site de l'ODM www.bfm.admin.ch &gt; Thèmes &gt; Bases légales &gt; Directives et commentaires &gt; Domaine des étrangers &gt; Procédure et répartition des compétences, version 10.01.2008, consulté le 17 mars 2009). Il s'ensuit que la recourante ne peut tirer aucun avantage du fait que le canton de Genève s'est déclaré favorable à la régularisation de ses conditions de séjour.</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2007/44 consid. 4.2 et 2007/16 consid. 5.2, ainsi que jurisprudence et doctrine citées).</w:t>
      </w:r>
    </w:p>
    <w:p>
      <w:r>
        <w:rPr>
          <w:b/>
        </w:rPr>
        <w:t>E. 4.3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l'intéressée en Suisse et dans sa patrie, sur son état de santé, sur sa situation professionnelle, sur son intégration sociale, etc. (cf. ATAF 2007/16 consid. 5.4).</w:t>
      </w:r>
    </w:p>
    <w:p>
      <w:r>
        <w:rPr>
          <w:b/>
        </w:rPr>
        <w:t>E. 5.1</w:t>
      </w:r>
    </w:p>
    <w:p>
      <w:r>
        <w:t>Dans son pourvoi, la recourante invoque le bénéfice de la circulaire du 21 décembre 2001, révisée le 8 octobre 2004 et pour la dernière fois le 21 décembre 2006, relative à la pratique de l'Office fédéral concernant la réglementation du séjour des étrangers dans les cas personnels d'extrême gravité (cf. mémoire de recours, p. 10 ss.).</w:t>
      </w:r>
    </w:p>
    <w:p>
      <w:r>
        <w:rPr>
          <w:b/>
        </w:rPr>
        <w:t>E. 5.2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OLE et la recourante ne peut tirer aucun avantage de ce texte.</w:t>
      </w:r>
    </w:p>
    <w:p>
      <w:r>
        <w:rPr>
          <w:b/>
        </w:rPr>
        <w:t>E. 6.1</w:t>
      </w:r>
    </w:p>
    <w:p>
      <w:r>
        <w:t>S'agissant de la durée et de la nature du séjour de A._______ en Suisse, le Tribunal, se fondant sur les pièces du dossier, retiendra les éléments suivants: l'intéressée est venue en Suisse le 20 octobre 1990 pour y travailler comme fille au pair, puis garde d'enfants, sans autorisation de séjour et de travail en bonne et due forme. Le 8 décembre 2000, elle a sollicité une autorisation de séjour temporaire pour suivre une formation de secrétaire et d'aide comptable d'une durée d'une année dans une école privée. A cette occasion, elle a indiqué qu'elle était arrivée à Genève le 15 octobre 2000 et que dès la fin de sa formation, elle retournerait dans son pays pour y travailler. Le 13 janvier 2001, A._______ a obtenu une autorisation de séjour temporaire fondée sur l'art. 31 OLE, valable jusqu'au 31 décembre 2001. La prénommée ayant échoué à ses examens, son autorisation de séjour fondée sur l'art. 31 OLE a exceptionnellement été renouvelée jusqu'au 31 décembre 2002. L'intéressée n'a pas quitté la Suisse à l'échéance de son autorisation de séjour, mais est demeurée à Genève pour y travailler dans une entreprise de la place, sans aucune autorisation idoine, du 1er mars 2003 au 30 octobre 2003. Ayant sollicité de l'OCP-GE par courrier du 6 mai 2004 la régularisation de ses conditions de séjour, au sens de l'art. 13 let. f OLE, elle demeure ainsi en Suisse depuis lors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Dans ces circonstances,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 Au demeurant, le seul fait pour un étranger de séjourner en Suisse pendant quelques années, y compris à titre légal (en l'espèce, sous l'angle du séjour pour études), ne permet pas d'admettre un cas personnel d'extrême gravité sans que n'existent d'autres circonstances tout à fait exceptionnelles à même de justifier l'existence d'un cas de rigueur (cf. ATAF 2007/16 consid. 7 et jurisprudence citée).</w:t>
      </w:r>
    </w:p>
    <w:p>
      <w:r>
        <w:rPr>
          <w:b/>
        </w:rPr>
        <w:t>E. 7</w:t>
      </w:r>
    </w:p>
    <w:p>
      <w:r>
        <w:t>Il convient maintenant d'examiner les critères d'évaluation qui, autres que la seule durée du séjour en Suisse, pourraient rendre le retour de la recourante dans son pays particulièrement difficile.</w:t>
      </w:r>
    </w:p>
    <w:p>
      <w:r>
        <w:rPr>
          <w:b/>
        </w:rPr>
        <w:t>E. 7.1</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6.2).</w:t>
      </w:r>
    </w:p>
    <w:p>
      <w:r>
        <w:rPr>
          <w:b/>
        </w:rPr>
        <w:t>E. 7.2</w:t>
      </w:r>
    </w:p>
    <w:p>
      <w:r>
        <w:t>En l'espèce, la recourante justifie avant tout sa démarche par la longue durée de son séjour en Suisse, sa parfaite intégration sociale et professionnelle, sa maîtrise du français et par le cercle d'amis et de connaissances qu'elle s'est construit dans le canton de Genève (cf. mémoire de recours). S'agissant de l'intégration professionnelle, bien que le Tribunal ne remette nullement en cause les efforts d'intégration accomplis par l'intéressée durant sa présence sur le territoire genevois, il ne saurait pour autant considérer qu'elle se soit créé avec la Suisse des attaches à ce point profondes et durables qu'elle ne puisse plus raisonnablement envisager un retour dans son pays d'origine. Force est en effet de constater que l'intéressée a d'abord travaillé en Suisse en qualité de fille au pair et de garde d'enfant et qu'elle a ensuite travaillé en qualité de réceptionniste, de vendeuse auxiliaire, puis de vendeuse appelée à seconder la responsable d'un magasin. On ne saurait dès lors considérer qu'elle ait ainsi acquis des connaissances ou des qualifications spécifiques telles qu'elle ne pourrait plus les mettre en pratique dans sa patrie, ni qu'elle ait fait preuve d'une évolution professionnelle en Suisse remarquable au point de justifier, à elle seule, l'admission d'un cas de rigueur au sens de l'art. 13 let. f OLE (cf. ATAF précité consid. 8.3 et jurisprudence citée; voir également A. Wurzburger, La jurisprudence récente du Tribunal fédéral en matière de police des étrangers, RDAF 1997, p. 292). Certes, il y a lieu de constater que A._______ a acquis une formation de secrétaire et d'aide-comptable dans une école privée de Genève. Toutefois, elle a bien spécifié qu'elle entreprenait cette formation dans le but de retourner au Maroc pour y travailler, de sorte que le Tribunal ne saurait attacher une trop grande importance à cet élément sous l'angle de l'intégration. Au contraire, il y a plutôt lieu de relever que le diplôme obtenu et les connaissances pratiques acquises en Suisse permettront vraisemblablement à l'intéressée de mieux se profiler sur le marché de l'emploi à son retour. Sur un autre plan, le Tribunal constate également que l'intéressée a bénéficié des prestations d'assistance de la part du canton de Genève dès le 1er octobre 2003 et jusqu'au 30 mars 2005 (cf. attestations de l'hospice général des 13 janvier 2005 et 15 septembre 2005), ce qui n'est pas une preuve de bonne intégration. Au demeurant, durant huit mois, soit du 1er septembre 2004 au 30 avril 2005, l'intéressée a touché à la fois un salaire pour son travail et des prestations d'assistance. Même si, le 22 juillet 2005, A._______ s'est engagée auprès de l'Hospice général à rembourser les prestations indûment perçues durant cette période et qu'elle affirme dans son courrier du 11 mars 2009 que c'est par ignorance et non par réelle volonté de tromper qu'elle n'a pas annoncé à l'autorité d'assistance les salaires touchés, le fait d'avoir dans un premier temps omis d'informer l'Hospice général d'une prise d'emploi doit également être relevé et ne parle pas en faveur de l'intéressée.</w:t>
      </w:r>
    </w:p>
    <w:p>
      <w:r>
        <w:rPr>
          <w:b/>
        </w:rPr>
        <w:t>E. 7.3</w:t>
      </w:r>
    </w:p>
    <w:p>
      <w:r>
        <w:t>Enfin, le Tribunal observe que le comportement de A._______ en Suisse n'est pas exempt de tout reproche puisqu'elle y a séjourné et travaillé sans autorisation durant plusieurs années. Même s'il ne faut pas exagérer l'importance des infractions aux prescriptions de police des étrangers inhérentes à la condition de travailleur clandestin, il n'est néanmoins pas contradictoire de tenir compte de l'existence de tels éléments (cf. ATF 130 II 39 consid. 5.2). A cela s'ajoutent les faits relevés ci-dessus concernant l'aide sociale indûment touchée.</w:t>
      </w:r>
    </w:p>
    <w:p>
      <w:r>
        <w:rPr>
          <w:b/>
        </w:rPr>
        <w:t>E. 7.4</w:t>
      </w:r>
    </w:p>
    <w:p>
      <w:r>
        <w:t>Sur un autre plan, il convient de rappeler ici que la recourante est née au Maroc, pays où elle a suivi toute sa scolarité, y a étudié à l'Ecole hôtelière de Rabat et d'Agadir et y a vécu jusqu'à l'âge de vingt-quatre ans. A._______ a ainsi passé toute sa jeunesse, son adolescence et une partie de sa vie de jeune adulte dans son pays. Ces années apparaissent comme essentielles pour la formation de la personnalité et, partant, pour l'intégration sociale et culturelle (cf. ATF 123 II 125 consid. 5b/aa). Malgré le séjour passé sur le territoire suisse, le Tribunal ne saurait considérer que A._______ soit devenue totalement étrangère à sa patrie. Il n'est en effet pas concevable que ce pays, où elle a passé la majeure partie de son existence, et où, surtout, vivent sa mère, sa soeur et l'un de ses frères, lui soit devenue à ce point étranger qu'elle ne serait plus en mesure, après une période de réadaptation, d'y retrouver ses repères. Enfin, le Tribunal ne saurait suivre la recourante qui prétend qu'elle n'a plus aucun contact avec ses proches au Maroc (cf. courriers des 30 septembre 2005, 16 janvier 2006, 15 avril 2006, 12 décembre 2008), alors que depuis le dépôt de sa demande de régularisation, elle est déjà retournée à trois reprises dans sa famille, en janvier 2005, octobre 2006 et juin 2008, pour des séjours de deux à trois mois. Ainsi, même si l'on peut admettre, dans une certaine mesure, que l'intéressée a pris distance du pays dans lequel elle a ses racines du fait de son séjour de dix-huit ans environ en Suisse - pays où elle s'est construit un cercle d'amis et de connaissances -, force est néanmoins de constater qu'elle possède malgré tout au Maroc des conditions familiales favorables en vue de s'y réintégrer, puisqu'elle pourra compter sur l'appui, moral du moins, de ses proches. Enfin, il convient de relever une nouvelle fois que les connaissances linguistiques et professionnelles acquises par l'intéressée durant son séjour en Suisse, de même que la formation de secrétaire et d'aide comptable entreprise par A._______ à Genève - dans l'intention de retourner dans son pays pour y travailler - et le diplôme ainsi obtenu, favoriseront vraisemblablement sa réintégration au Maroc.</w:t>
      </w:r>
    </w:p>
    <w:p>
      <w:r>
        <w:rPr>
          <w:b/>
        </w:rPr>
        <w:t>E. 7.5</w:t>
      </w:r>
    </w:p>
    <w:p>
      <w:r>
        <w:t>Par ailleurs, s'agissant des problèmes médicaux signalés par la recourante, force est de constater qu'elle a effectivement été opérée du ligament du genou droit le 16 mars 2004, soit plus de deux ans après sa chute. Toutefois, excepté cette intervention, dont il ne ressort pas des certificats médicaux produits qu'elle ait donné lieu à des complications, la recourante n'a pas allégué souffrir de problèmes de santé particuliers.</w:t>
      </w:r>
    </w:p>
    <w:p>
      <w:r>
        <w:rPr>
          <w:b/>
        </w:rPr>
        <w:t>E. 7.6</w:t>
      </w:r>
    </w:p>
    <w:p>
      <w:r>
        <w:t>Enfin, le Tribunal n'ignore pas non plus que le départ d'un étranger après un séjour de quelques années en Suisse n'est pas exempt de difficultés. En cas de retour forcé au Maroc, la recourante se trouvera probablement dans une situation matérielle sensiblement moins favorable que celle dont elle bénéfice en Suisse. Il n'y a pas lieu cependant de considérer que cette situation serait sans commune mesure avec celle que connaissent ses compatriotes. A cet égard, il convient de rappeler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8</w:t>
      </w:r>
    </w:p>
    <w:p>
      <w:r>
        <w:t>Dans l'argumentation de son recours, la requérante prétend également être victime d'une inégalité de traitement par rapport aux cas de P.E. ressortissant colombien et de A.B. ressortissante du Kosovo, lesquels ont été exemptés des mesures de limitation.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V 107 consid. 3.4.2 p. 114; 129 I 113 consid. 5.1 p. 125; 127 V 448 consid. 3b p. 454; 125 I 1 consid. 2b/aa p. 4 et la jurisprudence citée; cf. Arrêt du Tribunal administratif fédéral C-198/2006 du 26 juillet 2007 consid. 8.2 et jurisprudence citée). Certes, même si leurs parcours ne sont pas exactement identiques, le cas de la recourante présente quelques similitudes avec les prénommés, comme la longue durée du séjour sur sol helvétique et l'âge, dans le premier cas invoqué. Il faut cependant constater que, d'une part, à la différence des deux cas cités, A._______ n'a pas toujours été financièrement indépendante durant son séjour en Suisse, et qu'au contraire elle a bénéficié des prestations de l'aide sociale, ainsi que des prestations de l'assurance chômage. Au demeurant, P.E. avait coupé tous liens avec son pays d'origine, dans lequel il n'était jamais retourné, ce qui n'est pas le cas de la requérante qui est retournée à plusieurs reprises dans sa famille au Maroc. Quant A.B., elle avait des attaches familiales importantes en Suisse, où l'un de ses frères et l'une de ses soeurs résidaient, tous deux au bénéfice d'autorisation de séjour durable en qualité de conjoints de ressortissants suisses, ce qui n'est pas le cas de A._______, dont aucun membre de la famille ne réside légalement en Suisse. Enfin, à supposer qu'une inégalité de traitement ait effectivement été commise au détriment de la recourante, cette dernière ne pourrait en tirer pour autant aucun avantage. Il s'agit ici d'un domaine où il est très difficile de faire des comparaisons, les particularités du cas d'espèce étant déterminantes dans l'appréciation d'un éventuel cas de rigueur (cf. arrêt du Tribunal fédéral 2A.305/2006 du 2 août 2006 consid. 5.3, arrêt du Tribunal administratif fédéral C-198/2006 précité consid. 8.3). Au demeurant, les deux cas auxquels il est fait référence ont été traités par l'ODM avant l'arrêt publié aux ATF (130 II 39). Cela étant, le Tribunal de céans observe que le cas de l'intéressée a fait l'objet d'une analyse détaillée, de laquelle il est ressorti qu'elle ne remplissait pas les conditions d'une exception aux mesures de limitation. C'est donc en vain que la recourante invoque une violation du principe de l'égalité de traitement (cf. ATF 134 V 34 consid. 9).</w:t>
      </w:r>
    </w:p>
    <w:p>
      <w:r>
        <w:rPr>
          <w:b/>
        </w:rPr>
        <w:t>E. 9</w:t>
      </w:r>
    </w:p>
    <w:p>
      <w:r>
        <w:t>En conséquence, l'examen de l'ensemble des éléments de la présente cause amène le Tribunal à la conclusion que l'intéressée ne se trouve pas dans une situation d'extrême gravité au sens de l'art. 13 let. f OLE et que c'est à bon droit que l'autorité inférieure a considéré qu'elle ne satisfaisait pas aux exigences de cette disposition. Compte tenu des considérants exposés ci-dessus, il appert que, par sa décision du 28 novembre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