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C-3228/2013 vom 1. Juli 2014</w:t>
      </w:r>
    </w:p>
    <w:p>
      <w:r>
        <w:t>Bundesverwaltungsgericht, 2014-07-01, DE</w:t>
      </w:r>
    </w:p>
    <w:p>
      <w:r>
        <w:rPr>
          <w:b/>
        </w:rPr>
        <w:t xml:space="preserve">Quelle: </w:t>
      </w:r>
      <w:r>
        <w:t>https://mcp.opencaselaw.ch/entscheid/bvger_C-3228_2013</w:t>
      </w:r>
    </w:p>
    <w:p>
      <w:r>
        <w:t>FR: TAF C-3228/2013 du 1 juillet 2014</w:t>
      </w:r>
    </w:p>
    <w:p>
      <w:r>
        <w:t>IT: TAF C-3228/2013 del 1 luglio 2014</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 von Art. 33 Bst. d VGG (vgl. auch Art. 85bis Abs. 1 Bst. b des Bundesgesetzes vom 20. Dezember 1946 über die Alters- und Hinterlassenenversicherung [AHVG, SR 831.10]). Ihr Einspracheentscheid vom 14. Mai 2013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ATSG). Er ist zur Beschwerde legitimiert.</w:t>
      </w:r>
    </w:p>
    <w:p>
      <w:r>
        <w:rPr>
          <w:b/>
        </w:rPr>
        <w:t>E. 1.3</w:t>
      </w:r>
    </w:p>
    <w:p>
      <w:r>
        <w:t>Der angefochtene Einspracheentscheid datiert vom 14. Mai 2013 und wurde dem Beschwerdeführer postalisch an seine Adresse in der Republik Kosovo zugestellt (act. 16). Die Beschwerdeschrift wurde gemäss Poststempel am 3. Juni 2013 aufgegeben und ging in der Folge am 7. Juni 2013 beim Bundesverwaltungsgericht ein (BVGer act. 1). Die Beschwerde wurde demnach fristgerecht innerhalb von dreissig Tagen nach Eröffnung des angefochtenen Einspracheentscheids eingereicht (vgl. Art. 22a VwVG in Verbindung mit Art. 60 des Bundesgesetzes vom 6. Oktober 2000 über den Allgemeinen Teil des Sozialversicherungsrechts [ATSG, SR 830.1]).</w:t>
      </w:r>
    </w:p>
    <w:p>
      <w:r>
        <w:rPr>
          <w:b/>
        </w:rPr>
        <w:t>E. 1.4</w:t>
      </w:r>
    </w:p>
    <w:p>
      <w:r>
        <w:t>Die Beschwerde enthält überdies einen Antrag und eine Begründung und wurde von der bevollmächtigten Vertreterin B._______ unterschrieben. Eine Kopie des angefochtenen Einspracheentscheids und die schriftliche Vertretungsvollmacht wurden beigelegt (BVGer act. 1). Die Beschwerde wurde damit formgerecht eingereicht (Art. 52 Abs. 1 VwVG).</w:t>
      </w:r>
    </w:p>
    <w:p>
      <w:r>
        <w:rPr>
          <w:b/>
        </w:rPr>
        <w:t>E. 1.5</w:t>
      </w:r>
    </w:p>
    <w:p>
      <w:r>
        <w:t>Auf die Beschwerde vom 30. Mai 2013 kann deshalb eingetreten werden.</w:t>
      </w:r>
    </w:p>
    <w:p>
      <w:r>
        <w:rPr>
          <w:b/>
        </w:rPr>
        <w:t>E. 2</w:t>
      </w:r>
    </w:p>
    <w:p>
      <w:r>
        <w:t>Zum Verfahren vor Bundesverwaltungsgericht ist einleitend Folgendes anzumerken: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2.3</w:t>
      </w:r>
    </w:p>
    <w:p>
      <w:r>
        <w:t>Das Bundesverwaltungsgericht ist gemäss dem Grundsatz der Rechtsanwendung von Amtes wegen nicht an die Begründung der Begehren der Parteien gebunden (Art. 62 Abs. 4 VwVG). Im Rahmen seiner Kognition (vgl. Erwägung 2.2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Streitig und zu prüfen ist, ob der Beschwerdeführer einen Anspruch auf Leistungen der schweizerischen AHV hat.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w:t>
      </w:r>
    </w:p>
    <w:p>
      <w:r>
        <w:rPr>
          <w:b/>
        </w:rPr>
        <w:t>E. 3.3</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4.1</w:t>
      </w:r>
    </w:p>
    <w:p>
      <w:r>
        <w:t>Die Vorinstanz hat den Antrag des Beschwerdeführers auf Zusprache einer Altersrente der AHV in Form einer einmaligen Abfindung im Betrag von Fr. 5'730.- mit dem Hinweis auf seinen Status als Nichtvertragsausländer wegen fehlendem Wohnsitz und Aufenthalt in der Schweiz abgewiesen. Der Beschwerdeführer ist gemäss seinen Angaben in der AHV-Anmeldung kosovarischer Staatsangehöriger und in seiner Heimat wohnhaft (act. 4). Seine Staatsangehörigkeit ergibt sich auch aus der aktenkundigen amtlichen Heiratsbescheinigung der Republik Kosovo (act. 5, Seite 4). Es ist zu prüfen, ob sich der Beschwerdeführer auf eine zwischenstaatliche Vereinbarung berufen kann, die ihn vom Wohnsitz- und Aufenthaltserfordernis in der Schweiz nach Art. 18 Abs. 2 AHVG befreien würde. Diesbezüglich stellt sich die Rechtslage folgendermassen dar:</w:t>
      </w:r>
    </w:p>
    <w:p>
      <w:r>
        <w:rPr>
          <w:b/>
        </w:rPr>
        <w:t>E. 4.2</w:t>
      </w:r>
    </w:p>
    <w:p>
      <w:r>
        <w:t>Mit Wirkung ab dem 1. April 2010 hat der Bundesrat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im Verhältnis mit der Republik Kosovo nicht weiterzuführen. Diese Vertragsbeendigung wurde vom Bundesgericht geschützt, so dass die genannten völkerrechtlichen Vereinbarungen seit dem 1. April 2010 auf kosovarische Staatsangehörige nicht mehr anwendbar sind (vgl. Urteil des Bundesgerichts 139 V 263 vom 19. Juni 2013 E. 3 bis 8).</w:t>
      </w:r>
    </w:p>
    <w:p>
      <w:r>
        <w:rPr>
          <w:b/>
        </w:rPr>
        <w:t>E. 4.3</w:t>
      </w:r>
    </w:p>
    <w:p>
      <w:r>
        <w:t>Vorbehalten bleibt unter bestimmten Voraussetzungen die weitere Anwendung des Sozialversicherungsabkommens auf serbisch-kosovari-sche Doppelbürger (vgl. im Einzelnen BGE 139 V 263 E. 9 ff. und 12.2). Vorliegend finden sich indessen keinerlei Hinweise auf eine serbisch-kosovarische Doppelbürgerschaft, welche vom Beschwerdeführer auch nicht geltend gemacht wird, weshalb dieser Spezialfall nicht weiter erörtert werden muss.</w:t>
      </w:r>
    </w:p>
    <w:p>
      <w:r>
        <w:rPr>
          <w:b/>
        </w:rPr>
        <w:t>E. 4.4</w:t>
      </w:r>
    </w:p>
    <w:p>
      <w:r>
        <w:t>Was die zeitliche Geltung des Sozialversicherungsabkommen im Verhältnis zur Republik Kosovo bis zum 31. März 2010 betrifft, ist für die Zusprache einer Altersrente der Eintritt des Versicherungsfalls, also das Erreichen des Rentenalters (Geburtstag) massgebend. Das Bundesgericht hat diese Handhabung, die mit dem auf den 1. Januar 2012 eingeführten Art. 18 Abs. 2bis AHVG eine definitive Klärung erfahren hat, mit Urteil 9C_53/2013 vom 6. August 2013 E. 3.3 bestätigt (vgl. auch die Urteile des Bundesgerichts 9C_555/2013 vom 6. Januar 2014 E. 3.2 sowie 9C_278/2013 vom 3. September 2013 E. 5.2).</w:t>
      </w:r>
    </w:p>
    <w:p>
      <w:r>
        <w:rPr>
          <w:b/>
        </w:rPr>
        <w:t>E. 4.5</w:t>
      </w:r>
    </w:p>
    <w:p>
      <w:r>
        <w:t>Der Beschwerdeführer erreichte das AHV-Rentenalter von 65 Jahren am ... 2012 (Art. 21 Abs. 1 Bst. a AHVG; act. 4 und act. 5, Seite 4). Folglich ist sein Versicherungsfall erst nach dem 31. März 2010 eingetreten, zu einem Zeitpunkt, als das Sozialversicherungsabkommen im Verhältnis zur Republik Kosovo bereits nicht mehr weitergeführt wurde. Das Sozialversicherungsabkommen und die weiteren genannten völkerrechtlichen Vereinbarungen finden deshalb keine Anwendung. Der vorliegende Fall ist somit nach dem innerstaatlichen schweizerischen Recht zu beurteilen.</w:t>
      </w:r>
    </w:p>
    <w:p>
      <w:r>
        <w:rPr>
          <w:b/>
        </w:rPr>
        <w:t>E. 4.6</w:t>
      </w:r>
    </w:p>
    <w:p>
      <w:r>
        <w:t>Demnach kommt das Wohnsitz- und Aufenthaltserfordernis in der Schweiz zum Tragen, welches gemäss dem Grundsatz von Art. 18 Abs. 2 AHVG für ausländische Staatsangehörige gilt. Diese Voraussetzung erfüllt der in seiner kosovarischen Heimat lebende Beschwerdeführer nicht. Er ist deshalb nicht zum Bezug einer Altersrente der schweizerischen AHV berechtigt. Ebenso entfällt der Anspruch auf eine einmalige Abfindung, welcher kosovarischen Versicherten vormals durch Art. 7 Bst. a des Sozialversicherungsabkommens vermittelt wurde.</w:t>
      </w:r>
    </w:p>
    <w:p>
      <w:r>
        <w:rPr>
          <w:b/>
        </w:rPr>
        <w:t>E. 4.7</w:t>
      </w:r>
    </w:p>
    <w:p>
      <w:r>
        <w:t>Der Beschwerdeführer wird auf die Möglichkeit der Rückvergütung der geleisteten AHV-Beiträge gemäss der Verordnung über die Rückvergütung der von Ausländern an die Alters- und Hinterlassenenversicherung bezahlten Beiträge (SR 831.131.12) aufmerksam gemacht. Ein Gesuch um Prüfung der Beitragsrückvergütung wäre bei der Vorinstanz einzureichen.</w:t>
      </w:r>
    </w:p>
    <w:p>
      <w:r>
        <w:rPr>
          <w:b/>
        </w:rPr>
        <w:t>E. 5</w:t>
      </w:r>
    </w:p>
    <w:p>
      <w:r>
        <w:t>Zusammenfassend ergibt sich, dass der im Kosovo wohnhafte Beschwerdeführer das Rentenalter nach Art. 21 Abs. 1 Bst. a AHVG erst nach dem 31. März 2010 erreichte, was zur Folge hat, dass das Sozialversicherungsabkommens zwischen der Schweiz und Föderativen Volksrepublik Jugoslawien auf ihn als kosovarischen Staatsangehörigen nicht mehr anwendbar ist. Als Nichtvertragsausländer ohne Wohnsitz und Aufenthalt in der Schweiz erfüllt er die gesetzlichen Voraussetzungen zum Bezug einer Altersrente der AHV in Form einer einmaligen Abfindung nicht. Die Beschwerde vom 30. Mai 2013 ist daher abzuweisen, während der angefochtene Einspracheentscheid der Vorinstanz zu bestätigen ist.</w:t>
      </w:r>
    </w:p>
    <w:p>
      <w:r>
        <w:rPr>
          <w:b/>
        </w:rPr>
        <w:t>E. 6</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