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C-321/2009 vom 21. Februar 2011</w:t>
      </w:r>
    </w:p>
    <w:p>
      <w:r>
        <w:t>Bundesverwaltungsgericht, 2011-02-21, DE</w:t>
      </w:r>
    </w:p>
    <w:p>
      <w:r>
        <w:rPr>
          <w:b/>
        </w:rPr>
        <w:t xml:space="preserve">Quelle: </w:t>
      </w:r>
      <w:r>
        <w:t>https://mcp.opencaselaw.ch/entscheid/bvger_C-321_2009</w:t>
      </w:r>
    </w:p>
    <w:p>
      <w:r>
        <w:t>FR: TAF C-321/2009 du 21 février 2011</w:t>
      </w:r>
    </w:p>
    <w:p>
      <w:r>
        <w:t>IT: TAF C-321/2009 del 21 febbraio 2011</w:t>
      </w:r>
    </w:p>
    <w:p>
      <w:pPr>
        <w:pStyle w:val="Heading2"/>
      </w:pPr>
      <w:r>
        <w:t>Regeste</w:t>
      </w:r>
    </w:p>
    <w:p>
      <w:r>
        <w:t>Rentenanspruch</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w:t>
      </w:r>
    </w:p>
    <w:p>
      <w:r>
        <w:rPr>
          <w:b/>
        </w:rPr>
        <w:t>E. 3</w:t>
      </w:r>
    </w:p>
    <w:p>
      <w:r>
        <w:t>Streitig ist der Anspruch auf eine Invalidenrente. Zunächst sind die für die Beurteilung des Anspruchs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12. August 2008) eingetretenen Sachverhalt ab (BGE 129 V 1 E. 1.2 mit Hinweis). Tatsachen, die jenen Sachverhalt seither verändert haben, sollen im Normalfall Gegenstand einer neuen Verwaltungsverfügung sein (BGE 121 V 362 E. 1b).</w:t>
      </w:r>
    </w:p>
    <w:p>
      <w:r>
        <w:rPr>
          <w:b/>
        </w:rPr>
        <w:t>E. 3.2</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15. Dezember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3.6</w:t>
      </w:r>
    </w:p>
    <w:p>
      <w:r>
        <w:t>Bei einem Invaliditätsgrad von mindestens 40 % besteht Anspruch auf eine Viertelrente, bei mindestens 50 % auf eine halbe Rente, bei mindestens 60 % auf eine Dreiviertelrente und bei mindestens 70 % auf eine ganze Rente (Art. 28 Abs. 2 IVG [in der seit 1. Januar 2008 gültigen Fassung], Art. 28 Abs. 1 IVG [in der ab 1. Januar 2004 bis 31. Dezember 2007 gültigen Fassung]).</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3.8</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In den interdisziplinär zusammengesetzten RAD sind insbesondere die Fachdisziplinen Innere oder Allgemeine Medizin, Orthopädie, Rheumatologie, Pädiatrie und Psychiatrie vertreten (Art. 48 IVV).</w:t>
      </w:r>
    </w:p>
    <w:p>
      <w:r>
        <w:rPr>
          <w:b/>
        </w:rPr>
        <w:t>E. 4</w:t>
      </w:r>
    </w:p>
    <w:p>
      <w:r>
        <w:t>Zunächst ist zu beurteilen, ob und gegebenenfalls in welchem Umfang der Beschwerdeführer aufgrund eines Gesundheitsschadens in seiner Arbeitsfähigkeit beeinträchtigt ist.</w:t>
      </w:r>
    </w:p>
    <w:p>
      <w:r>
        <w:rPr>
          <w:b/>
        </w:rPr>
        <w:t>E. 4.1</w:t>
      </w:r>
    </w:p>
    <w:p>
      <w:r>
        <w:t>Gemäss Entscheid des spanischen Versicherungsträgers vom 3. April 2008 ist der Beschwerdeführer seit dem 6. November 2006 in seiner bisherigen Arbeit nicht mehr arbeitsfähig (IV-Akt. 8). Als Gründe werden Fraktur des L1 sowie chronische Lumbalgie ohne Nachweis einer Radikulopathie angegeben.</w:t>
      </w:r>
    </w:p>
    <w:p>
      <w:r>
        <w:rPr>
          <w:b/>
        </w:rPr>
        <w:t>E. 4.2</w:t>
      </w:r>
    </w:p>
    <w:p>
      <w:r>
        <w:t>Den medizinischen Akten lässt sich Folgendes entnehmen:</w:t>
      </w:r>
    </w:p>
    <w:p>
      <w:r>
        <w:rPr>
          <w:b/>
        </w:rPr>
        <w:t>E. 4.2.1</w:t>
      </w:r>
    </w:p>
    <w:p>
      <w:r>
        <w:t>Dr. B._______ führte in seinem Bericht vom 25. Juni 2007 eine lange Listen von Befunden auf, welche er aufgrund der klinischen und radiologischen Untersuchung erhoben habe, insbesondere im Kontext der Fraktur des Wirbelkörpers L1, degenerativen Veränderungen der Wirbelsäule und Diskusprolaps zwischen D12 und L1 bzw. L3 und S1. Die degenerative und diskale Pathologie im Bereich der Halswirbelsäule sei für die Nacken- und Kopfschmerzen sowie den Schwindel verantwortlich. Die Pathologie im Bereich der Lendenwirbelsäule erkläre die lumbalen Schmerzen mit Parästhesien in den unteren Extremitäten. Die Elektromyographie zeige eine chronische Denervierung im radikulären Bereich L5 und S1. Die Beschwerden träten auf bzw. verschlimmerten sich bei körperlicher Anstrengung oder gebeugten Positionen. Die degenerativen Veränderungen im Bereich der Schultern seien verantwortlich für die Schmerzen dort sowie für die funktionalen Einschränkungen (IV-Akt. 17).</w:t>
      </w:r>
    </w:p>
    <w:p>
      <w:r>
        <w:rPr>
          <w:b/>
        </w:rPr>
        <w:t>E. 4.2.2</w:t>
      </w:r>
    </w:p>
    <w:p>
      <w:r>
        <w:t>Im Formularbericht E 213 vom 19. Mai 2008 führte Dr. F._______ als Diagnosen eine Fraktur (des Lendenwirbelkörpers) L1 sowie eine chronische Lumbalgie ohne Nachweis einer Radikulopathie auf. Bei den Funktionseinschränkungen werden Tätigkeiten, die mit einer konstanten Mehrbelastung der Lendenwirbelsäule und Heben von schweren Gewichten verbunden sind, als ungeeignet bezeichnet. Der Versicherte könne noch eine leichte Tätigkeit (ohne häufiges Bücken) ausüben. In seiner bisherigen Arbeit als Maurer sei er nicht mehr arbeitsfähig. Eine angepasste Tätigkeit könne er hingegen vollzeitlich ausüben.</w:t>
      </w:r>
    </w:p>
    <w:p>
      <w:r>
        <w:rPr>
          <w:b/>
        </w:rPr>
        <w:t>E. 4.2.3</w:t>
      </w:r>
    </w:p>
    <w:p>
      <w:r>
        <w:t>Gemäss dem Bericht des Augenarztes Dr. D._______ vom 17. Januar 2007 klagte der Beschwerdeführer über eine Verschlechterung des Sehvermögens rechts seit einigen Monaten bzw. seit dem Unfall. Zuvor sei das rechte Auge aufgrund einer Netzhautablösung operiert worden. Der Patient dürfe keine schweren Gewichte tragen und sollte Anstrengungen vermeiden (IV-Akt. 24).</w:t>
      </w:r>
    </w:p>
    <w:p>
      <w:r>
        <w:rPr>
          <w:b/>
        </w:rPr>
        <w:t>E. 4.2.4</w:t>
      </w:r>
    </w:p>
    <w:p>
      <w:r>
        <w:t>Der im Beschwerdeverfahren eingereichte Bericht von Dr. E._______ vom 22. April 2009 (Akt. 7, Beilage 4) beruht auf einer nach Erlass der angefochtenen Verfügung durchgeführten Untersuchung vom 16. April 2009, weshalb darauf nicht weiter einzugehen ist (vgl. E. 3.1).</w:t>
      </w:r>
    </w:p>
    <w:p>
      <w:r>
        <w:rPr>
          <w:b/>
        </w:rPr>
        <w:t>E. 4.2.5</w:t>
      </w:r>
    </w:p>
    <w:p>
      <w:r>
        <w:t>Der IV-Stellenarzt Dr. C._______ führte in seinem Bericht vom 24. September 2008 die Diagnose 'Status nach Fraktur L1 ohne neurologische Beeinträchtigungen, aber mit Lumbalgien' an. Aufgrund der Beeinträchtigung sei eine schwere Arbeit nicht mehr zumutbar. Da aber keine signifikanten neurologischen Störungen und lediglich eine Einschränkung der Beweglichkeit sowie ein lumbales Schmerzsyndrom vorlägen, sei die Ausübung einer leichten Verweistätigkeit zu 100 % zumutbar. In der bisherigen Tätigkeit attestierte er ab 6. November 2006 eine Arbeitsunfähigkeit von 70 %, in einer angepassten Tätigkeit 0 % ab 6. März 2007 (IV-Akt. 21).</w:t>
      </w:r>
    </w:p>
    <w:p>
      <w:r>
        <w:rPr>
          <w:b/>
        </w:rPr>
        <w:t>E. 4.2.6</w:t>
      </w:r>
    </w:p>
    <w:p>
      <w:r>
        <w:t>Nachdem der Beschwerdeführer im Vorbescheidverfahren unter Hinweis auf die Berichte von Dr. B._______ und Dr. D._______ geltend gemacht hatte, die Arbeitsunfähigkeit bzw. Invalidität betrage mehr als 60 %, führte Dr. C._______ in seiner Stellungnahme vom 6. Dezember 2008 aus, der neu eingereichte Bericht vom 25. Juni 2007 (Dr. B._______) bestätige die bereits bekannte Pathologie. Die funktionellen Beeinträchtigungen seien ohne weiteres vereinbar mit der Ausübung einer leichten Tätigkeit. Die vom Versicherten angeführten radiologischen Befunde stellten noch keine funktionellen Beeinträchtigungen dar. Die Beurteilung gemäss Formular E 213 sei klar und schlüssig (IV-Akt. 27).</w:t>
      </w:r>
    </w:p>
    <w:p>
      <w:r>
        <w:rPr>
          <w:b/>
        </w:rPr>
        <w:t>E. 4.3</w:t>
      </w:r>
    </w:p>
    <w:p>
      <w:r>
        <w:t>Nach der Rechtsprechung kann auf Stellungnahmen der RAD abgestellt werden, wenn sie den allgemeinen beweisrechtlichen Anforderungen an einen ärztlichen Bericht genügen.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RAD-Berichte im Beschwerdefall gerichtlich überprüfbar (zum Ganzen: Urteil BGer 9C_323/2009 vom 14. Juli 2009 [publiziert in SVR 2009 IV Nr. 56] E. 4.3.1 mit Hinweisen, Urteil BGer 9C_1059/2009 vom 4. August 2010 E. 1.2). Geht es im Wesentlichen um die Beurteilung eines feststehenden medizinischen Sachverhalts, kann der RAD auf die Vornahme eigener Untersuchungen (vgl. Art. 49 Abs. 2 IVV) verzichten (soeben zitiertes Urteil 9C_323/2009 E. 4.3.1). Ob die Berichte des medizinischen Dienstes der IV-Stelle in beweisrechtlicher Hinsicht den RAD-Berichten gleichzustellen sind, kann vorliegend offen bleiben. Denn auf einen Aktenbericht kann grundsätzlich nur abgestellt werden, wenn die Akten ein vollständiges Bild über Anamnese, Verlauf und gegenwärtigen Status ergeben (vgl. Urteil BGer 8C_653/2009 vom 28. Oktober 2009 E. 5.2, Urteil BGer I 1094/06 vom 14. November 2007 E. 3.1.1). Wie sich aus den nachfolgenden Erwägungen ergibt, sind diese Voraussetzungen vorliegend nicht erfüllt.</w:t>
      </w:r>
    </w:p>
    <w:p>
      <w:r>
        <w:rPr>
          <w:b/>
        </w:rPr>
        <w:t>E. 4.3.1</w:t>
      </w:r>
    </w:p>
    <w:p>
      <w:r>
        <w:t>Aus den Akten ist nicht ersichtlich, wann (und von wem) die IVSTA den Bericht von Dr. B._______ vom 25. Juni 2007 erhalten hat (vgl. aber zu den Anforderungen an eine systematische Aktenführung Urteil BGer 8C_319/2010 vom 15. Dezember 2010 E. 2.2 mit Hinweisen). Aufgrund der Nummerierung ist jedoch anzunehmen, dass dem IV-Stellenarzt bei seiner ersten Stellungnahme nicht nur das Formular E 213 (IV-Akt. 18), sondern auch der Bericht von Dr. B._______ (IV-Akt. 17) vorlag. Dennoch stützte sich der Arzt bei seiner Beurteilung lediglich auf das Formular E 213. In seiner zweiten Stellungnahme verweist er auf einen neu eingereichten medizinischen Bericht vom 25. Juni 2007, welcher die bereits bekannte Pathologie bestätige. Zu den im Bericht von Dr. B._______ (nicht aber im Formular E 213) angeführten Beschwerden im Bereich Halswirbelsäule und Schultern wird nicht eingegangen. In den Stellungnahmen nicht erwähnt wird der vom Beschwerdeführer (wahrscheinlich) im Vorbescheidverfahren eingereichte Bericht des Augenarztes Dr. D._______. Zwar kann vom Arzt, welcher die medizinischen Unterlagen zu Handen der Verwaltung zu beurteilen hat, nicht verlangt werden, dass er sich immer mit jedem Kurzattest, welches im Verlauf des Verfahrens eingereicht wird, einlässlich auseinandersetzt. Liegen jedoch wie hier (abgesehen von einem handschriftlichen, kaum lesbaren Kurzattest [IV-Akt. 19]) lediglich zwei (bzw. bei der zweiten Stellungnahme drei) ärztliche Berichte vor, sind diese bei der Würdigung zu berücksichtigen. Anzufügen ist, dass es insbesondere bei medizinischen Berichten, die nur in spanischer Sprache bzw. nicht in einer Amtssprache vorliegen, nicht genügt, wenn lediglich auf "die bereits bekannten" Befunde verwiesen wird.</w:t>
      </w:r>
    </w:p>
    <w:p>
      <w:r>
        <w:rPr>
          <w:b/>
        </w:rPr>
        <w:t>E. 4.3.2</w:t>
      </w:r>
    </w:p>
    <w:p>
      <w:r>
        <w:t>Der Formularbericht E 213 erscheint zwar auf den ersten Blick in seiner Beurteilung klar und schlüssig. Er ist jedoch unvollständig. Dem medizinischen Experten standen offenbar keine Vorakten zur Verfügung, jedenfalls wurden sie nicht aufgeführt. Der Bericht lässt zudem vermuten, dass sich der Arzt bei seiner Untersuchung auf den (unteren) Bereich der Wirbelsäule bzw. auf die Beeinträchtigung, welche zur Zusprechung der spanischen IV-Rente führte, beschränkte. Ein vollständiger klinischer (insbesondere rheumatologischer) Status wurde nicht erhoben. Überdies fehlen Angaben über die fachliche Spezialisierung des Experten.</w:t>
      </w:r>
    </w:p>
    <w:p>
      <w:r>
        <w:rPr>
          <w:b/>
        </w:rPr>
        <w:t>E. 4.3.3</w:t>
      </w:r>
    </w:p>
    <w:p>
      <w:r>
        <w:t>Eine nachvollziehbare Beschreibung der medizinischen Situation und Zusammenhänge mit begründeten Schlussfolgerungen enthalten somit weder die Stellungnahmen des IV-Stellenarztes Dr. C._______ noch der Formularbericht E 213.</w:t>
      </w:r>
    </w:p>
    <w:p>
      <w:r>
        <w:rPr>
          <w:b/>
        </w:rPr>
        <w:t>E. 4.4</w:t>
      </w:r>
    </w:p>
    <w:p>
      <w:r>
        <w:t>Die im Beschwerdeverfahren von der Vorinstanz bei ihrem medizinischen Dienst eingeholte (ausführlichere) Stellungnahme von Dr. G._______ vom 9. März 2009 (IV-Akt. 33), ergänzt durch den Bericht vom 18. Juni 2009 (IV-Akt. 36), vermag die Zweifel an der Vollständigkeit und Zuverlässigkeit der medizinischen Abklärung nicht auszuräumen. Die Aussage, dass Rückenbeschwerden nicht allein aufgrund der radiologischen Darstellung, sondern im Kontext mit der Klinik zu beurteilen sind, ist nachvollziehbar. Gerade aus diesem Grund ist aber entscheidend, dass die im konkreten Fall erforderlichen klinischen Untersuchungen (lege artis) vorgenommen wurden und dokumentiert sind. Welche Untersuchungen erforderlich sind, haben die medizinischen Sachverständigen unter Berücksichtigung der Klagen der versicherten Person, den Vorakten bzw. der Anamnese zu entscheiden. Dr. G._______ äussert sich indessen nicht zur Frage, ob der medizinische Sachverhalt hinreichend abgeklärt wurde. Er begründet auch nicht, weshalb hier eine Beurteilung ohne Vorakten möglich sein soll, obwohl der Krankheitsverlauf seit dem Unfall im November 2006 in keiner Weise dokumentiert ist.</w:t>
      </w:r>
    </w:p>
    <w:p>
      <w:r>
        <w:rPr>
          <w:b/>
        </w:rPr>
        <w:t>E. 4.5</w:t>
      </w:r>
    </w:p>
    <w:p>
      <w:r>
        <w:t>Zusammenfassend ergibt sich, dass die Arbeits(un)fähigkeit des Beschwerdeführers nicht mit überwiegender Wahrscheinlichkeit festgestellt werden kann und der Sachverhalt in medizinischer Hinsicht ungenügend abgeklärt ist. Die Sache ist daher an die Vorinstanz zurückzuweisen, damit diese - in Zusammenarbeit mit dem RAD (vgl. Art. 59 Abs. 2bis IVG) - die ergänzenden Abklärungen vornehme und anschliessen das Leistungsbegehren neu beurteile. In diesem Sinne ist die Beschwerde gutzuheissen.</w:t>
      </w:r>
    </w:p>
    <w:p>
      <w:r>
        <w:rPr>
          <w:b/>
        </w:rPr>
        <w:t>E. 5</w:t>
      </w:r>
    </w:p>
    <w:p>
      <w:r>
        <w:t>Zu befinden bleibt noch über die Verfahrenskosten und eine allfällige Parteientschädigung.</w:t>
      </w:r>
    </w:p>
    <w:p>
      <w:r>
        <w:rPr>
          <w:b/>
        </w:rPr>
        <w:t>E. 5.1</w:t>
      </w:r>
    </w:p>
    <w:p>
      <w:r>
        <w:t>Laut Art. 63 Abs. 1 VwVG sind die Verfahrenskosten der unter­liegenden Partei aufzuerlegen, wobei der geleistete Kostenvorschuss zu berücksichtigen ist. Dem obsiegenden Beschwerdeführer wird der geleistete Kostenvorschuss nach Eintritt der Rechtskraft des vorlie­genden Urteils zurückerstattet. Der unterlegenen Vorinstanz werden gemäss Art. 63 Abs. 2 VwVG keine Kosten auferlegt.</w:t>
      </w:r>
    </w:p>
    <w:p>
      <w:r>
        <w:rPr>
          <w:b/>
        </w:rPr>
        <w:t>E. 5.2</w:t>
      </w:r>
    </w:p>
    <w:p>
      <w:r>
        <w:t>Der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keine Kostennote eingereicht wurde, ist die Entschädigung aufgrund der Akten festzusetzen (vgl. Art. 14 Abs. 2 VGKE). Unter Berücksichtigung des gebotenen und aktenkundigen Aufwandes sowie des Umstandes, dass der Rechtsvertreter sein Mandat erst vor Einreichung der Replik übernahm, erscheint eine Entschädigung von pauschal Fr. 500.-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