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C-3213/2013 vom 31. Januar 2014</w:t>
      </w:r>
    </w:p>
    <w:p>
      <w:r>
        <w:t>Bundesverwaltungsgericht, 2014-01-31, DE</w:t>
      </w:r>
    </w:p>
    <w:p>
      <w:r>
        <w:rPr>
          <w:b/>
        </w:rPr>
        <w:t xml:space="preserve">Quelle: </w:t>
      </w:r>
      <w:r>
        <w:t>https://mcp.opencaselaw.ch/entscheid/bvger_C-3213_2013</w:t>
      </w:r>
    </w:p>
    <w:p>
      <w:r>
        <w:t>FR: TAF C-3213/2013 du 31 janvier 2014</w:t>
      </w:r>
    </w:p>
    <w:p>
      <w:r>
        <w:t>IT: TAF C-3213/2013 del 31 gennaio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der Einreiseverbote Verfügungen im erwähnten Sinne und daher zulässige Anfechtungsobjekte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 sind als Verfügungsadressaten zur Beschwerde legitimiert (Art. 48 Abs. 1 VwVG). Auf die frist- und formgerecht einge­reichte Beschwerde ist einzutreten (Art. 50 und 52 VwVG). Aufgrund des engen persönlichen und sachlichen Zusammenhanges der in einer gemeinsamen Beschwerdeschrift angefochtenen Verfügungen rechtfertigt es sich, darüber in einem Entscheid zu befinden.</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3.1</w:t>
      </w:r>
    </w:p>
    <w:p>
      <w:r>
        <w:t>Gemäss Art. 67 Abs. 1 AuG wird ein Einreiseverbot vom BFM unter Vorbehalt von Abs. 5 gegenüber weggewiesenen Ausländerinnen und Ausländern verfügt, wenn die Wegweisung nach Art. 64d Abs. 2 Bst. a - c AuG sofort vollstreckt wird (Bst. a) oder die betroffene Person der Ausreiseverpflichtung nicht innert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Die Verhängung eines Einreiseverbots knüpft an das Bestehen eines Risikos einer künftigen Gefährdung an. Es ist jeweils im Einzelfall eine Prognose zu stellen. Dabei ist naturgemäss in erster Linie das vergangene Verhalten der betroffenen Person zu berücksichtigen, zumal dieses geeignet ist, einen Hinweis auf eine allfällige Gefährdung zu liefern. Deshalb verknüpft Art. 67 Abs. 2 Bst. a AuG die Verhängung einer Fernhaltemassnahme u.a. mit einem bereits erfolgten Verstoss gegen die fraglichen Polizeigüter. Art. 80 Abs. 1 der Verordnung vom 24. Oktober 2007 über Zulassung, Aufenthalt und Erwerbstätigkeit (VZAE, SR 142.201) konkretisiert den Begriff des «Verstosses» nach Art. 67 Abs. 2 Bst. a AuG und hält fest, dass u.a. eine Missachtung gesetzlicher Vorschriften und behördlicher Verfügungen dazu zählt (vgl. die Urteile des Bundesverwaltungsgerichts C 1875/2012 vom 11. November 2013 E. 5 sowie C-760/2012 vom 24. Juli 2013 E. 7.1 je mit Hinweisen).</w:t>
      </w:r>
    </w:p>
    <w:p>
      <w:r>
        <w:rPr>
          <w:b/>
        </w:rPr>
        <w:t>E. 4.1</w:t>
      </w:r>
    </w:p>
    <w:p>
      <w:r>
        <w:t>Wird gegen eine Person, die nicht das Bürgerrecht eines EU-Mitgliedstaates besitzt, ein Einreiseverbot verhängt, so wird diese nach Massgabe der Bedeutung des Falles im Schengener Informationssystem (SIS) zur Einreiseverweigerung ausgeschrieben (vgl. Art. 21 u. Art. 24 SIS-II-VO [ABl. L 381 vom 28. Dezember 2006, S. 4 23], in Kraft seit 9. April 2013, vgl. Beschluss des Rates 2013/158/EU vom 7. März 2013 [Abl. L 87 vom 27. März 2013, S. 10-11] i.V.m. Art. 52 Abs. 1 SIS-II-VO). Damit wird dem Betroffenen grundsätzlich die Einreise in das Hoheitsgebiet aller Schengen-Mitglied­staaten verboten (vgl. Art. 5 Abs. 1 Bst. d sowie Art. 13 Abs. 1 Schengener Grenzkodex [SGK, Abl. L 105 vom 13. April 2006, S. 1-32]). Die Mitgliedstaaten können dem Betroffenen aus wichtigen Gründen oder aufgrund in­ternationaler Verpflichtungen die Einreise in ihr Hoheitsgebiet gestatten bzw. ihm ein Schengen-Visum mit räumlich beschränkter Gül­tigkeit ausstellen (vgl. Art. 13 Abs. 1 i.V.m. Art. 5 Abs. 4 Bst. c SGK; Art. 25 Abs. 1 Bst. a [ii] Visakodex, Abl. L 243 vom 15. September 2009).</w:t>
      </w:r>
    </w:p>
    <w:p>
      <w:r>
        <w:rPr>
          <w:b/>
        </w:rPr>
        <w:t>E. 4.2</w:t>
      </w:r>
    </w:p>
    <w:p>
      <w:r>
        <w:t>Gemäss der Richtlinie 2008/115/EG vom 16. Dezember 2008 über gemeinsame Normen und Verfahren in den Mitgliedstaaten zur Rückführung illegal aufhältiger Drittstaatsangehöriger (Rückführungsrichtlinie, RFRL, ABl. L 348 vom 24. Dezember 2008, S. 98-107; vgl. zur Geltung und Anwendbarkeit der RFRL in der Schweiz Urteil des Bundesverwaltungsgerichts C-891/2012 vom 16. April 2013 E. 5.1 mit Hinweisen) geht bei illegal anwesenden Drittstaatsangehörigen eine Wegweisung, die sofort vollstreckt wird oder bei der die betroffene Person nicht fristgerecht ausgereist ist, in der Regel mit einem schengenweiten Einreiseverbot einher (vgl. Erwägungsgrund 14 RFRL sowie Art. 3 Ziff. 6 i.V.m. Art. 11 Abs. 1 RFRL). Davon kann nur in rechtfertigungsbedürftigen Ausnahmefällen abgesehen werden (vgl. Art. 11 Abs. 3 RFRL). Zur Umsetzung dieser Verpflichtung ist die betroffene Person im SIS zur Einreiseverweigerung auszuschreiben (s. vorne, E. 4.1; vgl. auch Urteil des Bundesverwaltungsgerichts C-4243/2012 vom 19. Juni 2013 E. 5.1).</w:t>
      </w:r>
    </w:p>
    <w:p>
      <w:r>
        <w:rPr>
          <w:b/>
        </w:rPr>
        <w:t>E. 5.1</w:t>
      </w:r>
    </w:p>
    <w:p>
      <w:r>
        <w:t>Die Beschwerdeführer haben während ihrer Anwesenheit in der Schweiz diverse Fernhaltegründe gesetzt. Nach dem Verlust der Aufenthalts- bzw. Niederlassungsbewilligung (vgl. Sachverhalt Bst. A) verliessen sie das Land nicht innert der ihnen letztmals bis am 28. Februar 2013 erstreckten Frist, sondern erst am 2. März 2013 (vgl. Sach­verhalt Bst. B). Während dieser Zeit hielten sie sich demnach illegal in der Schweiz auf (vgl. Art. 115 Abs. 1 Bst. b AuG). Sie hatten sich zudem während ihrer Anwesenheit in der Schweiz stark verschuldet (Stand Juli 2012: Verlustscheine Beschwerdeführer rund Fr. 214'000.-, Beschwerdeführerin Fr. 113'000.-) und mussten in erheblichem Mass von der Sozialhilfe unterstützt werden (im Jahr 2012 mit rund Fr. 48'000.-, vgl. BFM act. 3 S. 20). Sodann wurden sie wiederholt straffällig. Der Ehemann wurde in jüngerer Vergangenheit u.a. wegen Steuerbetrugs, Ungehorsams im Betreibungsverfahren und wiederholt wegen vorschriftswidrigen Parkierens verurteilt (vgl. BFM act. 3 S. 20, act. 4 S. 26 sowie das in den kantonalen Akten enthaltene Urteilsregister). Auch die Ehefrau weist diverse Eintragungen im Strafregister auf und wurde z.B. im Jahr 2010 wegen Urkundenfälschung bestraft (vgl. BFM act. 3 S. 20, act. 11 S. 44). All dies wird in der Beschwerdeschrift nicht bestritten.</w:t>
      </w:r>
    </w:p>
    <w:p>
      <w:r>
        <w:rPr>
          <w:b/>
        </w:rPr>
        <w:t>E. 5.2</w:t>
      </w:r>
    </w:p>
    <w:p>
      <w:r>
        <w:t>Die Vorbringen der Beschwerdeführer beziehen sich primär auf die Geschehnisse im Mai 2013 (vgl. Sachverhalt Bst. C). Sie hätten keine kriminelle Absicht gehabt, als sie ohne Visa erneut in die Schweiz gereist seien, und mit ihrem Verhalten niemandem geschadet. Diese Einwände und Erklärungen sind indes unbehelflich. Von zentraler Bedeutung ist im vorliegenden Fall, dass die Beschwerdeführer am 10. Januar 2013 vom Migrationsamt klar darauf hingewiesen wurden, dass auf Fernhaltemassnahmen verzichtet werde, falls sie die Schweiz termingerecht verliessen. Nachdem sie dennoch nicht fristgerecht ausgereist waren, war es zulässig und stand nicht im Widerspruch zum Grundsatz von Treu und Glauben (Art. 9 der Bundesverfassung der Schweizerischen Eidgenossenschaft vom 18. April 1999 [BV, SR 101]), die Einreiseverbote zu erlassen und hierbei auch die bereits vorgängig bestehenden Fernhaltegründe zu berücksichtigen (s. vorne, E. 5.1). Bei der Beschwerdeführerin kommt hinzu, dass sie am 12. Mai 2013 illegal (ohne gültiges Visum) in die Schweiz einreiste und sich bis zur Festnahme unerlaubt in der Schweiz aufhielt, wofür sie mit Strafbefehl vom 10. September 2013 zu einer bedingten Geldstrafe von 20 Tagessätzen verurteilt wurde (vgl. Sachverhalt Bst. H). Ob die erneute Einreise des Beschwerdeführers - der als mazedonischer Staatsangehöriger von der Visumpflicht befreit ist, zumal er einen biometrischen Reisepass besitzt - ebenfalls rechtswidrig war, ist unklar (vgl. BFM act. 5 S. 31 ff.), kann aber ohne Weiteres offen bleiben, zumal er bereits vorgängig diverse Fernhaltegründe gesetzt hat (s. vorne, E. 5.1).</w:t>
      </w:r>
    </w:p>
    <w:p>
      <w:r>
        <w:rPr>
          <w:b/>
        </w:rPr>
        <w:t>E. 5.3</w:t>
      </w:r>
    </w:p>
    <w:p>
      <w:r>
        <w:t>Demzufolge liegen bei beiden Beschwerdeführern hinreichende Gründe für die Verhängung einer Fernhaltemassnahme vor (vgl. Art. 67 Abs. 1 Bst. b sowie Art. 67 Abs. 2 Bst. a und b AuG).</w:t>
      </w:r>
    </w:p>
    <w:p>
      <w:r>
        <w:rPr>
          <w:b/>
        </w:rPr>
        <w:t>E. 6.1</w:t>
      </w:r>
    </w:p>
    <w:p>
      <w:r>
        <w:t>Die Beschwerdeführer bringen vor, die vom BFM ausgesprochenen dreijährigen, für den gesamten Schengenraum gültigen Einreiseverbote seien unverhältnismässig. Sie hätten niemanden geschädigt und ohne kriminellen Vorsatz gehandelt. Es handle sich um eine exemplarische Bestrafung für geringfügige Gesetzesübertretungen. Angezeigt gewesen wäre lediglich eine schriftliche Verwarnung.</w:t>
      </w:r>
    </w:p>
    <w:p>
      <w:r>
        <w:rPr>
          <w:b/>
        </w:rPr>
        <w:t>E. 6.2</w:t>
      </w:r>
    </w:p>
    <w:p>
      <w:r>
        <w:t>Betreffend den Einwand der «exemplarischen Bestrafung» ist darauf hinzuweisen, dass Einreiseverbote keinen Straf-, sondern reinen Massnahmecharakter haben. Sie sollen künftigen Störungen der öffentlichen Sicherheit und Ordnung vorbeugen und nicht ein bestimmtes Verhalten ahnden (vgl. Marc Spescha, in: Spescha/Thür/Zünd/Bolzli [Hrsg.], Migrationsrecht, 3. Aufl., Zürich 2012, Art. 67 N 1; Urteil des Bundesverwaltungsgerichts C-5767/2011 vom 3. Juli 2013 E. 5.1 mit Hinweisen). Strafrechtliche Urteile und ausländerrechtliche Massnahmen beruhen sodann auf unterschiedlichen gesetzlichen Grundlagen und verfolgen verschiedene Zielsetzungen. Ein bestimmtes Verhalten kann daher in massnahmerechtlicher Hinsicht grösseres Gewicht als in strafrechtlicher Hinsicht haben (vgl. BGE 130 II 493 E. 4.2).</w:t>
      </w:r>
    </w:p>
    <w:p>
      <w:r>
        <w:rPr>
          <w:b/>
        </w:rPr>
        <w:t>E. 6.3</w:t>
      </w:r>
    </w:p>
    <w:p>
      <w:r>
        <w:t>Wenn weggewiesene ausländische Personen nicht innerhalb der angesetzten Frist ausgereist sind (vgl. Sachverhalt Bst. B), so ist gemäss Art. 67 Abs. 1 Bst. b AuG grundsätzlich ein Einreiseverbot zu erlassen. Der Vorinstanz kam vorliegend mithin ein stark eingeschränktes Entschliessungsermessen zu (vgl. BBl 2009 8896 ad Art. 67 Abs. 1); nur in Ausnahmefällen ist von der Verhängung eines Einreiseverbots abzusehen (vgl. Art. 67 Abs. 5 AuG). Dennoch ist - namentlich im Hinblick auf die Dauer des Einreiseverbots - stets im Einzelfall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6.4</w:t>
      </w:r>
    </w:p>
    <w:p>
      <w:r>
        <w:t>Die Beschwerdeführer haben während ihrer Anwesenheit in der Schweiz diverse Fernhaltegründe gesetzt (s. vorne, E. 5). Aus dem von ihnen manifestierten Verhalten (insb. wiederholte Straffälligkeit, fortwährende Schuldenwirtschaft, illegaler Aufenthalt bzw. illegale Einreise) wird auf eine Gefährdung der öffentlichen Sicherheit und Ordnung geschlossen. Die Einreiseverbote haben in erster Linie präventiven Charakter, um weiteren Straftaten und fortgesetzter Schuldenwirtschaft der Beschwerdeführer entgegenzuwirken. Die Vorinstanz war demnach berechtigt, die Einreiseverbote zur Abwendung künftiger Störungen der öffentlichen Sicherheit und Ordnung zu verhängen. Als gewichtig zu betrachten sind vorliegend einerseits das generalpräventiv motivierte Interesse, die öffentliche Ordnung durch eine konsequente Massnahmenpraxis zu schützen (vgl. Urteil des Bundesgerichts 2C_948/2011 vom 11. Juli 2012 E. 3.4.2 in fine; zur Schwere des Gesetzesverstosses bei Drittausländern BGE 139 II 121 E. 5.4 in fine). Andererseits liegt eine spezialpräventive Zielsetzung der Fernhaltemassnahmen darin, dass sie die Beschwerdeführer ermahnen, bei einer künftigen Wiedereinreise in die Schweiz resp. in den Schengen-Raum nach Ablauf der Dauer des Einreiseverbots die für sie geltenden Regeln einzuhalten und keine weiteren Verstösse gegen die öffentliche Ordnung und Sicherheit zu begehen (vgl. hierzu Urteil des Bundesverwaltungsgerichts C-899/2012 vom 16. April 2013 E. 6.2). Es besteht demnach im vorliegenden Fall ein erhebliches öffentliches Interesse an der befristeten Fernhaltung der Beschwerdeführer.</w:t>
      </w:r>
    </w:p>
    <w:p>
      <w:r>
        <w:rPr>
          <w:b/>
        </w:rPr>
        <w:t>E. 6.5</w:t>
      </w:r>
    </w:p>
    <w:p>
      <w:r>
        <w:t>Die Beschwerdeführer machen in der Beschwerdeschrift keine Ausführungen dazu, aus welchen Gründen sie künftig in die Schweiz resp. in den Schengen-Raum einreisen möchten; ihr persönliches Interesse an der Aufhebung der Einreiseverbote wird mithin nicht substantiiert dargelegt. Hervorzuheben ist, dass Einschränkungen des Privat- bzw. Familienlebens (der Beschwerdeführer hat zwei in der Schweiz lebende erwachsene Kinder, vgl. BFM act. 5 S. 31) vorliegend auf­grund sachlicher und funktioneller Unzuständigkeit des Bundesverwal­tungsgerichts nicht Verfahrensgegenstand sein können, soweit sie auf das Fehlen eines dauerhaften Aufenthaltsrechts in der Schweiz zurückzu­führen sind. Die Wohnsitznahme in der Schweiz wie auch die Pflege regelmässiger persönlicher Kontakte zu hier lebenden Familienmitgliedern und Bekannten scheitert bereits an der nicht mehr vorhandenen Aufenthaltsberechtigung der Beschwerdeführer (vgl. Sachverhalt Bst. A und Bst. B). Für eine allfällige neue Bewilligung wäre der Kanton zuständig (vgl. dazu BVGE 2013/4 E. 7.4.1). Sodann machen die Beschwerdeführer keine Gründe geltend, welche den ausnahmsweisen Verzicht auf die Verhängung von Fernhaltemassnahmen rechtfertigen können. Sie haben daher die mit den Fernhaltemassnahme einhergehenden Einschränkungen hinzunehmen, zumal das dargelegte öffentliche Interesse erheblich ins Gewicht fällt. Die Einreiseverbote wirken sodann nicht absolut. Sollten die Beschwerdeführer während dessen Dauer zwingend in die Schweiz reisen müssen, so stünde ihnen die Möglichkeit offen, aus wichtigen Gründen die zeitweilige Suspension der Einreiseverbote zu beantragen (vgl. Art. 67 Abs. 5 AuG). Die Dauer der Einreiseverbote - je drei Jahre - erscheint sodann angesichts der zahlreichen in der Schweiz begangenen Straftaten und des Ausmasses der sich über Jahre hinziehenden Schuldenwirtschaft nicht als unverhältnismässig lang (vgl. aus der Praxis etwa die Urteile des Bundesverwaltungsgerichts C-3333/2011 vom 19. September 2013 E. 11.2 und E. 12, C-4659/2012 vom 25. Oktober 2013 E. 6.1 ff. sowie C-749/2010 vom 1. Oktober 2012 E. 5.1 ff.).</w:t>
      </w:r>
    </w:p>
    <w:p>
      <w:r>
        <w:rPr>
          <w:b/>
        </w:rPr>
        <w:t>E. 6.6</w:t>
      </w:r>
    </w:p>
    <w:p>
      <w:r>
        <w:t>Die Beschwerdeführer bringen sinngemäss vor, die Ausschreibungen der Einreiseverbote im SIS (s. vorne, E. 4.1 f.) seien nicht verhältnismässig. Aufgrund der dargelegten Bedeutung der Fälle (s. vorne, E. 6.4 f.) war es jedoch gerechtfertigt, dass die Vorinstanz ihnen die Einreise in das Hoheitsgebiet aller Schengen-Staaten verboten hat (vgl. Art. 21 i.V.m. Art. 24 SIS-II-VO sowie Art. 5 Abs. 1 Bst. d und Art. 13 Abs. 1 SGK), zumal die Schweiz die Interessen der Gesamtheit aller Schengen-Staaten zu wahren hat (vgl. BVGE 2011/48 E. 6.1). Die Schengen-Staaten können den Betroffenen sodann aus wichtigen Gründen oder aufgrund in­ternationaler Verpflichtungen die Einreise in das eigene Hoheitsgebiet gestatten bzw. ein Schengen-Visum mit räumlich beschränkter Gül­tigkeit ausstellen (vgl. Art. 13 Abs. 1 i.V.m. Art. 5 Abs. 4 Bst. c SGK; Art. 25 Abs. 1 Bst. a [ii] Visakodex). Nachdem die Ausschreibung der Einreiseverbote im SIS klarerweise gerechtfertigt war, erübrigt es sich zu prüfen, ob im vorliegenden Fall die Rückführungsrichtlinie - welche ein Absehen vom Erlass eines schengenweiten Einreiseverbots bzw. einer SIS-Ausschreibung nur in rechtfertigungsbedürftigen Ausnahmefällen zulässt (vgl. Erwägungsgrund 14 RFRL sowie Art. 3 Ziff. 6 i.V.m. Art. 11 Abs. 1 RFRL) - anwendbar ist oder nicht (vgl. zu dieser Problematik Urteil des Bundesverwaltungsgerichts C-891/2012 vom 16. April 2013 E. 5.1 f. mit Hinweisen).</w:t>
      </w:r>
    </w:p>
    <w:p>
      <w:r>
        <w:rPr>
          <w:b/>
        </w:rPr>
        <w:t>E. 7</w:t>
      </w:r>
    </w:p>
    <w:p>
      <w:r>
        <w:t>Aus diesen Erwägungen ergibt sich, dass die angefochtenen Verfügungen Bundesrecht nicht verletzen und den rechtserheblichen Sachverhalt richtig und vollständig feststellen; sie sind auch angemessen (vgl. Art. 49 VwVG). Die Beschwerde ist daher abzuweisen.</w:t>
      </w:r>
    </w:p>
    <w:p>
      <w:r>
        <w:rPr>
          <w:b/>
        </w:rPr>
        <w:t>E. 8</w:t>
      </w:r>
    </w:p>
    <w:p>
      <w:r>
        <w:t>Dem Ausgang des Verfahrens entsprechend werden die unterliegenden Beschwerdeführer - deren Gesuch um unentgeltliche Rechtspflege mit Zwischenentscheid vom 3. Juli 2013 abgewiesen worden ist - kostenpflichtig (Art. 63 Abs. 1 VwVG). Die Verfahrenskosten sind auf Fr. 1'000.- festzusetzen (Art. 1, Art. 2 und Art.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