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C-3209/2008 vom 8. Mai 2009</w:t>
      </w:r>
    </w:p>
    <w:p>
      <w:r>
        <w:t>Bundesverwaltungsgericht, 2009-05-08, FR</w:t>
      </w:r>
    </w:p>
    <w:p>
      <w:r>
        <w:rPr>
          <w:b/>
        </w:rPr>
        <w:t xml:space="preserve">Quelle: </w:t>
      </w:r>
      <w:r>
        <w:t>https://mcp.opencaselaw.ch/entscheid/bvger_C-3209_2008</w:t>
      </w:r>
    </w:p>
    <w:p>
      <w:r>
        <w:t>FR: TAF C-3209/2008 du 8 mai 2009</w:t>
      </w:r>
    </w:p>
    <w:p>
      <w:r>
        <w:t>IT: TAF C-3209/2008 del 8 maggio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algérien, B._______ est soumis à l'obligation du visa.</w:t>
      </w:r>
    </w:p>
    <w:p>
      <w:r>
        <w:rPr>
          <w:b/>
        </w:rPr>
        <w:t>E. 7.1</w:t>
      </w:r>
    </w:p>
    <w:p>
      <w:r>
        <w:t>Dans la décision attaquée, l'ODM a refusé d'autoriser l'entrée en Suisse de B._______,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ladite disposition.</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de l'Algérie, conditions économiques qui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du requérant ne suffit pas à conclure à l'absence de garantie quant à son retour à l'issue du séjour, toutes les particularités du cas d'espèce devant être prises en considération.</w:t>
      </w:r>
    </w:p>
    <w:p>
      <w:r>
        <w:rPr>
          <w:b/>
        </w:rPr>
        <w:t>E. 8</w:t>
      </w:r>
    </w:p>
    <w:p>
      <w:r>
        <w:t>En l'occurrence, sans pour autant minimiser les raisons d'ordre familial qui motivent sa demande, le Tribunal ne saurait admettre, au vu de l'ensemble des éléments du dossier, que le retour de B._______ en Algérie au terme de l'autorisation demandée puisse être considéré comme suffisamment garanti. Ainsi qu'il ressort des renseignements qui ont été communiqués aux autorités suisses dans le cadre de la présente affaire, l'intéressé est une personne jeune, célibataire et sans charge de famille. Il serait donc à même de se créer une nouvelle existence hors de sa patrie, sans que cela n'entraîne pour lui de difficulté majeure sur le plan personnel. Même s'il paraît disposer d'un cadre familial dans son pays et s'il convient d'admettre que de tels liens peuvent, dans une certaine mesure, inciter une personne, au terme du séjour envisagé en Suisse, à retourner dans le pays où elle réside, ils ne sauraient toutefois suffire, en l'espèce, à garantir le retour de l'intéressé en Algérie, au vu du contexte socio-économique et politique de ce pays. S'agissant des attaches professionnelles du requérant en Algérie, il n'a pas été démontré que celui-ci exercerait, au sein de l'entreprise dont il est coassocié, une fonction qui l'empêcherait de prolonger son séjour à l'étranger. Cela étant, compte tenu notamment de la disparité économique existant entre l'Algérie et la Suisse, aucun élément du dossier ne permet de conclure que la situation de B._______ se trouverait péjorée s'il devait renoncer à celle qu'il connaît dans son pays d'origine au profit de celle qu'il pourrait se créer en Suisse. Il ne faut en effet pas perdre de vue que cette différence de niveau de vie peut s'avérer déterminante lorsque l'on prend la décision de quitter sa patrie. On ne saurait dès lors totalement exclure que l'intéressé mette à profit son séjour en Suisse pour y chercher un emploi lui procurant un meilleur revenu et y engager, à l'échéance de son visa, des formalités administratives en vue de prolonger son séjour dans ce pays. De plus, il lui serait d'autant plus facile de s'installer en Suisse que des membres de sa famille proche sont parfaitement intégrés au tissu économique et social suisse.</w:t>
      </w:r>
    </w:p>
    <w:p>
      <w:r>
        <w:rPr>
          <w:b/>
        </w:rPr>
        <w:t>E. 9</w:t>
      </w:r>
    </w:p>
    <w:p>
      <w:r>
        <w:t>Dans ses déterminations du 14 août 2008, A._______ a prétendu que des autorisations d'entrée en Suisse avaient été délivrées à d'autres membres de sa famille (soit à sa soeur et à sa nièce) et il s'est ainsi prévalu implicitement d'une violation du principe de l'égalité de traitement. Le Tribunal relève, de manière générale, qu'en matière de délivrance d'autorisations d'entrée en Suisse, les spécificités de la cause, en particulier la situation personnelle de l'invité (soit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voir également arrêt du Tribunal administratif fédéral C-7306/2007 du 2 septembre 2008 ). Dès lors, certains des parents de l'hôte domicilié sur territoire helvétique sont susceptibles d'obtenir un visa, sans qu'il en aille nécessairement de même pour les autres membres de sa parenté ou de sa famille vivant à l'étranger. Ce faisant, les autorités compétentes établissent des distinctions qui se justifient pleinement, sans qu'il y ait violation du principe d'égalité de traitement ou de l'interdiction de l'arbitraire (sur la notion d'égalité de traitement, cf. ATF 134 I 23 consid. 9.1, 132 I 157 consid. 4.1, 131 V 107 consid. 3.4.2 et la jurisprudence citée; sur la notion d'arbitraire, cf. ATF 133 I 149 consid. 3.1 et les références). En l'espèce, il apparaît que le recourant n'a pas donné suite à la réquisition par laquelle le Tribunal l'avait invité à fournir des informations circonstanciées au sujet des visas d'entrée en Suisse accordés à deux autres membres de sa famille. Or, à teneur de l'art. 8 du code civil suisse du 10 décembre 1907 (CC, RS 210), chaque partie doit, si la loi ne prévoit le contraire, prouver les faits qu'elle allègue pour en déduire son droit. Cette règle du droit privé trouve également son application en procédure administrative, où il incombe à l'administré d'établir les faits qui sont de nature à lui procurer un avantage (cf. ATF 122 II 393/394, consid. 4c/cc, ainsi que doctrine et jurisprudence citées; A. Grisel, Traité de droit administratif, Neuchâtel, 1984, vol I, p. 99 et vol. II, 929). Dès lors que le recourant n'a pas établi les faits dont il entendait se prévaloir en vue de l'octroi d'un visa d'entrée en Suisse en faveur de son neveu, c'est en vain qu'il prétend que l'autorité intimée a, par sa décision du 22 avril 2008, violé le principe de l'égalité de traitement.</w:t>
      </w:r>
    </w:p>
    <w:p>
      <w:r>
        <w:rPr>
          <w:b/>
        </w:rPr>
        <w:t>E. 10</w:t>
      </w:r>
    </w:p>
    <w:p>
      <w:r>
        <w:t>En conséquence, 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en sa faveur. Il ressort de ce qui précède que la décision de l'ODM du 22 avril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