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C-3204/2008 vom 27. November 2008</w:t>
      </w:r>
    </w:p>
    <w:p>
      <w:r>
        <w:t>Bundesverwaltungsgericht, 2008-11-27, DE</w:t>
      </w:r>
    </w:p>
    <w:p>
      <w:r>
        <w:rPr>
          <w:b/>
        </w:rPr>
        <w:t xml:space="preserve">Quelle: </w:t>
      </w:r>
      <w:r>
        <w:t>https://mcp.opencaselaw.ch/entscheid/bvger_C-3204_2008</w:t>
      </w:r>
    </w:p>
    <w:p>
      <w:r>
        <w:t>FR: TAF C-3204/2008 du 27 novembre 2008</w:t>
      </w:r>
    </w:p>
    <w:p>
      <w:r>
        <w:t>IT: TAF C-3204/2008 del 27 novembre 2008</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Durch die angefochtene Verfügung ist die Beschwerdeführerin besonders berührt. Ihr schutzwürdiges Interesse an deren Änderung oder Aufhebung und damit ihre Beschwerdelegitimation sind zu bejahen (Art. 59 ATSG; vgl. auch Art. 48 Abs. 1 VwVG).</w:t>
      </w:r>
    </w:p>
    <w:p>
      <w:r>
        <w:rPr>
          <w:b/>
        </w:rPr>
        <w:t>E. 1.4</w:t>
      </w:r>
    </w:p>
    <w:p>
      <w:r>
        <w:t>Die Beschwerdeführerin hat frist- und formgerecht Beschwerde erhoben (Art. 60 ATSG; vgl. auch Art. 50 VwVG, Art. 52 Abs. 1 VwVG). Auf das ergriffene Rechtsmittel ist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Streitig und daher im Folgenden zu prüfen ist, ob die Vorinstanz das Leistungsbegehren der Beschwerdeführerin zu Recht abgewiesen hat. Nicht zu beurteilen ist demgegenüber die Rechtmässigkeit der von der IV-Stelle Zürich verfügten Rückforderung; diese Frage ist Gegenstand eines separaten Verfahrens (vgl. oben Sachverhalt Bst. C).</w:t>
      </w:r>
    </w:p>
    <w:p>
      <w:r>
        <w:rPr>
          <w:b/>
        </w:rPr>
        <w:t>E. 2.2</w:t>
      </w:r>
    </w:p>
    <w:p>
      <w:r>
        <w:t>Die Beschwerdeführerin ist schweizerische Staatsangehörige und wohnt in Indien. Die Schweiz hat mit Indien kein Sozialversicherungsabkommen abgeschlossen. Die Frage, ob und gegebenenfalls ab wann Anspruch auf Leistungen der schweizerischen Invalidenversicherung besteht, bestimmt sich demnach allein aufgrund der schweizerischen Rechtsvorschriften.</w:t>
      </w:r>
    </w:p>
    <w:p>
      <w:r>
        <w:rPr>
          <w:b/>
        </w:rPr>
        <w:t>E. 2.3</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1a-70), soweit das IVG nicht ausdrücklich eine Abweichung vom ATSG vorsieht. Dabei finden in for-mellrechtlicher Hinsicht nach den allgemeinen intertemporalrechtlichen Regeln grundsätzlich diejenigen Rechtssätze Anwendung, welche im Zeitpunkt der Beschwerdebeurteilung Geltung haben (BGE 130 V 1 E. 3.2).</w:t>
      </w:r>
    </w:p>
    <w:p>
      <w:r>
        <w:rPr>
          <w:b/>
        </w:rPr>
        <w:t>E. 2.4</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14. April 2008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IVG-Revision] und ab dem 1. Januar 2008 in der Fassung vom 6. Oktober 2006 und der IVV vom 28. September 2007 (AS 2007 5129 bzw. AS 2007 5155; 5. IV-Revision).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2.5</w:t>
      </w:r>
    </w:p>
    <w:p>
      <w:r>
        <w:t>Nach der Rechtsprechung stellt das Sozialversicherungsgericht bei der Beurteilung einer Streitsache in der Regel auf den bis zum Zeitpunkt des Erlasses der streitigen Verfügung (hier: 14. April 2008)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Die seit dem 1. Januar 2004 massgeblichen neuen Rentenabstufungen gemäss Art. 28 Abs. 1 IVG (heute Art. 28 Abs. 2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Beträgt der Invaliditätsgrad weniger als 50 Prozent, werden die entsprechenden Renten allerdings gemäss Art. 29 Abs. 4 IVG nur an Versicherte ausbezahlt, die ihren gewöhnlichen Aufenthalt im Sinne von Art. 13 ATSG in der Schweiz haben. Nach der Rechtsprechung des EVG stellt dies nicht eine blosse Auszahlungsvorschrift, sondern eine besondere Anspruchsvoraussetzung dar (BGE 121 V 275 E. 6c). Mangels eines anderslautenden Abkommens (oben E. 2.2) gilt dies insbesondere für in Indien wohnhafte Versicherte.</w:t>
      </w:r>
    </w:p>
    <w:p>
      <w:r>
        <w:rPr>
          <w:b/>
        </w:rPr>
        <w:t>E. 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w:t>
      </w:r>
    </w:p>
    <w:p>
      <w:r>
        <w:rPr>
          <w:b/>
        </w:rPr>
        <w:t>E. 3.3</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Zu bemerken bleibt,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muss sich der Versicherte anrechnen lassen (leidensangepasste Verweisungstätigkeit; ZAK 1986 S. 204 f.).</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 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der streitigen Revisionsverfügung (BGE 133 V 108 E. 5.4, BGE 125 V 369).</w:t>
      </w:r>
    </w:p>
    <w:p>
      <w:r>
        <w:rPr>
          <w:b/>
        </w:rPr>
        <w:t>E. 3.5</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der Verordnung vom 17. Januar 1961 über die Invalidenversicherung [IVV, SR 831.201]). Dies gilt in analoger Weise auch für Revisionsgesuche im Sinne von Art. 17 Abs. 1 ATSG (BGE 130 V 351 E. 3.5.3). Tritt die Verwaltung auf das Revisionsgesuch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w:t>
      </w:r>
    </w:p>
    <w:p>
      <w:r>
        <w:rPr>
          <w:b/>
        </w:rPr>
        <w:t>E. 3.6</w:t>
      </w:r>
    </w:p>
    <w:p>
      <w:r>
        <w:t>Vorliegend ist festzuhalten, dass die Vorinstanz auf das Revisionsgesuch der Beschwerdeführerin eingetreten ist und dieses materiell geprüft hat. Damit ist die Vorinstanz davon ausgegangen, dass die Beschwerdeführerin in ihrem Gesuch genügend glaubhaft machte, dass sich ihr Invaliditätsgrad in einer für den Anspruch erheblichen Weise geändert hat. Zu prüfen bleibt somit, ob diese Änderung tatsächlich eingetreten ist und eine rentenbegründende Invalidität der Beschwerdeführerin vorliegt. Zu vergleichen ist dabei die Situation im Zeitpunkt der Rentenverfügung vom 19. März 2004 (act. 22) mit derjenigen zur Zeit der streitigen Verfügung vom 14. April 2008.</w:t>
      </w:r>
    </w:p>
    <w:p>
      <w:r>
        <w:rPr>
          <w:b/>
        </w:rPr>
        <w:t>E. 4</w:t>
      </w:r>
    </w:p>
    <w:p>
      <w:r>
        <w:t>Die Beschwerdeführerin bringt sinngemäss vor, dass sich ihr Gesundheitszustand im fraglichen Zeitraum verschlechtert und sie bei der Vorinstanz mehrere Arztzeugnisse eingereicht habe.</w:t>
      </w:r>
    </w:p>
    <w:p>
      <w:r>
        <w:rPr>
          <w:b/>
        </w:rPr>
        <w:t>E. 4.1</w:t>
      </w:r>
    </w:p>
    <w:p>
      <w:r>
        <w:t>Die Akten enthalten namentlich folgende Arztberichte: Die Hausärztin Dr. med. B._______ wies mit Bericht vom 10. März 2003 auf eine schwere Uretralinsuffizienz bei Status nach Hysterektomie hin (act. 69). In ihren Berichten vom 6. und 16. Mai 2003 diagnostizierte Frau Dr. B._______ bei der Beschwerdeführerin sodann eine beidseitige Gonarthrose bei Status nach arthroskopischen Eingriffen am linken und rechten Knie. Die Arbeitsunfähigkeit sei sehr schwierig einzuschätzen, betrage in der bisherigen Tätigkeit ca. 40 - 60%, während eine angepasste Tätigkeit zu mindestens vier Stunden pro Tag zumutbar sei (act. 41 f.). Dr. med. C._______, Orthopädischer Chirurg FMH beschreibt in seinem Bericht vom 12. Mai 2003 einen Status nach eindrücklicher posttraumatischer Knorpelschädigung im medialen Femurcondylus im rechten Knie mit Knorpelabrasio und Pridiebohrungen im November 2002. Die schnappenden Schmerzen im medialen Gelenkspalt würden unter der Mehrbelastung bei der Tätigkeit als Spitexmitarbeiterin zunehmen (act. 69). Dr. C._______ stellte in seinem Arztzeugnis vom 15. Mai 2006 fest, dass bei der Arthroskopie und Pridiebohrung im November 2002 von einer posttraumatischen Knorpelablederung am medialen Femurcondylus ausgegangen worden sei. Dieser Schaden sei irreversibel. Eine letzte Betreuung durch ihn habe im August 2003 stattgefunden. Damals hätten unter forcierter Belastung mässige Schmerzen im medialen Gelenkskompartiment bestanden. Eine solche Läsion sei irreversibel und führe früher oder später zu Arthroseschmerzen. Allerdings könne bei einer moderaten Gelenksarthrose im unteren Extremitätenbrereich eine sitzende Tätigkeit zu 100% ausgeübt werden. Die Tätigkeit dürfe auch kleinere Wegstrecken in einem Raum beinhalten, allerdings möglichst ohne Leitern- oder Treppensteigen. Gewichte über 20kg zu heben, sei zu vermeiden, ebenso sei das Treppensteigen oder das Besteigen von Leitern oder Maschinen problematisch. Da zwischenzeitlich keine Konsultation mehr erfolgt sei, müsse er davon ausgehen, dass seither keine Verschlechterung mehr eingetreten sei (act. 48, 85). Dr. D._______, Arzt am Herz- und Medizinzentrum in Dehradun/Indien, hielt im Bericht vom 24. November 2006 (Eingang bei der IV-Stelle) fest, dass die Beschwerdeführerin an Osteoarthritis im Knie leide, verbunden mit einem Kniegelenkerguss, der sich später entwässert habe. Das Laufen und Treppensteigen falle ihr schwer. Zudem leide sie an wiederholenden Harnwegsinfektionen und Drehschwindelanfällen (Meniere's Disease). Die Beschwerdeführerin erhalte Medikamente (act. 69). Am 22. Februar 2007 füllte Dr. D._______ den "Fragebogen für den Arzt" der IV-Stelle aus und führte an, die Beschwerdeführerin leide seit ungefähr einem Jahr an Osteoarthritis und sei zu 80-85% arbeitsunfähig. Der Gesundheitszustand sei seither stabil, die Arbeitsfähigkeit lasse sich mit Medikamenten oder Massnahmen der beruflichen Rehabilitation nicht verbessern (act. 70). Der IV-Stellenarzt Dr. med. E._______ kam in seiner Beurteilung vom 16. Mai 2007 zum Schluss, dass die Beschwerdeführerin unter einer klinisch gesicherten Gonarthrose beidseits (ICD-10: M17.0) bei Zustand nach arthroskopischen Eingriffen beidseits wegen Meniskus- und Knorpelschäden leide. Damit sei die bisherige Tätigkeit im Pflegebereich ab Arbeitsaufgabe nicht mehr zumutbar. Sitzende Tätigkeiten seien weiterhin vollzeitig möglich, da keine Probleme von Seiten der Wirbelsäule oder des Schulterbereiches bekannt seien. Medizinische Revisionen seien nicht nötig, da es sich um irreversible Veränderungen handle. Es bestehe eine 80%-ige Arbeitsunfähigkeit in der zuletzt ausgeübten Tätigkeit und eine 20%-ige Arbeitsunfähigkeit in einer Verweistätigkeit, je ab 5. Dezember 2004 (act. 72). Seine Aussagen bestätigte Dr. E._______ mit Bericht vom 23. Juli 2007 (act. 78). In einer weiteren Stellungnahme vom 7. September 2007 präzisierte er, dass bereits im Bericht von Dr. C._______ vom 12. Mai 2003 deutlich geworden sei, dass die Beschwerdeführerin die angestammte Arbeit nur noch mit Schwierigkeiten habe verrichten können. Die klinischen und in-strumentellen Befunde im Verlaufe der folgenden Monate/Jahre würden diesen Tatbestand belegen. Die Arbeitsunfähigkeit sei gemäss den biologischen Veränderungen an den Kniegelenken langsam progressiv zunehmend. Es bestehe in der angestammten Tätigkeit deshalb bereits ab 15. Januar 2004 eine 60%-ige und ab 5. Dezember 2004 eine 80%-ige Arbeitsunfähigkeit. Die Arbeitsunfähigkeit von 20% in einer Verweistätigkeit bestehe ebenfalls ab 5. Dezember 2004. Mögliche Verweistätigkeiten seien die Überwachung in einem Parking oder Museum, eine Arbeit im Versandhandel, als Ticketverkäuferin, Empfangsdame, Telefonistin oder im Bereich der Eingabe von (elektronischen) Daten (act. 80). Mit Schreiben vom 10. März 2008 reichte die Beschwerdeführerin ein undatiertes Arztzeugnis von Dr. D._______ ein. Darin wird bestätigt, dass die Beschwerdeführerin an beiden Knien wiederholt Ergüsse aufweise, welche mit einer Drainage behandelt würden. Sie leide zudem an Osteopenie lumbosacral und im Bereich des Femurs (act. 97).</w:t>
      </w:r>
    </w:p>
    <w:p>
      <w:r>
        <w:rPr>
          <w:b/>
        </w:rPr>
        <w:t>E. 4.2</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 2001 S. 113 E. 3a). Der erhöhte Beweiswert umfasst allerdings nur medizinische Fragen, zu deren Beantwortung Ärzte im Sozialversicherungsverfahren beigezogen werden, nicht aber weitere Fragen wie z.B. die wirtschaftliche Beurteilung.</w:t>
      </w:r>
    </w:p>
    <w:p>
      <w:r>
        <w:rPr>
          <w:b/>
        </w:rPr>
        <w:t>E. 4.3</w:t>
      </w:r>
    </w:p>
    <w:p>
      <w:r>
        <w:t>Im vorliegenden Fall ist festzuhalten, dass eine genügende medizinische Dokumentation des Gesundheitszustandes der Beschwerde-führerin vorliegt, welche es gestattet, eine zuverlässige Beurteilung des streitigen Rentenanspruches vorzunehmen.</w:t>
      </w:r>
    </w:p>
    <w:p>
      <w:r>
        <w:rPr>
          <w:b/>
        </w:rPr>
        <w:t>E. 5.1</w:t>
      </w:r>
    </w:p>
    <w:p>
      <w:r>
        <w:t>Die Vorinstanz führt in ihrer Vernehmlassung aus, dass sie auf das erneute Leistungsbegehren vom 9. August 2006 hin mit Verfügung vom 14. April 2008 festgestellt habe, dass die Beschwerdeführerin keine Verschlechterung des Gesundheitszustandes aufweise, so dass die Invalidenrente weiterhin nicht ausgerichtet werde könne. Bei der Sachverhaltsabklärung sei festgestellt worden, dass lediglich ein aktuelles ärztliches Zeugnis vorliege, welches Angaben zum Gesundheitszustand der Beschwerdeführerin liefere, nämlich der Bericht von Dr. C._______ vom 15. Mai 2006. Dieser gelange zum Schluss, dass hinsichtlich der Gelenksbeschwerden eine Aggravation der Situation nicht feststellbar sei. Es würden daher keine objektiv erkennbaren Sachverhaltselemente vorliegen, die auf eine wesentliche Verschlechterung des Gesundheitszustandes bzw. deren Auswirkung auf die Arbeitsfähigkeit der Beschwerdeführerin hindeuteten. Es bestehe weiterhin eine Erwerbseinbusse von 43% vor.</w:t>
      </w:r>
    </w:p>
    <w:p>
      <w:r>
        <w:rPr>
          <w:b/>
        </w:rPr>
        <w:t>E. 5.2</w:t>
      </w:r>
    </w:p>
    <w:p>
      <w:r>
        <w:t>Der Argumentation der Vorinstanz, wonach im hier interessierenden Vergleichszeitraum keine objektiven Hinweise auf eine Verschlechterung des Gesundheitszustandes der Beschwerdeführerin vorliegen, kann nicht gefolgt werden. Dr. C._______ hielt in seinem Bericht vom 15. Mai 2006, auf welchen die Vorinstanz abstellt, fest, dass die Läsion der Beschwerdeführerin früher oder später zu Arthroseschmerzen führe. Dr. D._______ bestätigt denn auch in seinem Bericht vom 22. Februar 2007 das Arthroseleiden der Beschwerdeführerin seit dem Jahr 2006. Auch die Beschwerdeführerin klagt über eine Verschlechterung ihrer Kniebeschwerden. Des Weiteren schätzt auch der IV-Stellenarzt den Gesundheitszustand der Beschwerdeführerin schlechter ein als im Jahr 2004 und berichtet von einem langsam progressiv zunehmenden Verlauf der Kniebeschwerden. Es befinden sich demzufolge auch andere aktuelle Einschätzungen über den Gesundheitszustand der Beschwerdeführerin in den Akten, als lediglich der Bericht von Dr. C._______ vom 15. Mai 2006. Aus diesem Bericht von Dr. C._______ zieht die Vorinstanz im Übrigen unzulässige Schlüsse. Entgegen der Ansicht der Vorinstanz kann nämlich nicht gesagt werden, Dr. C._______ habe festgestellt, es sei in den letzten Jahren keine Verschlechterung eingetreten. Vielmehr bestätigte er lediglich, dass er die Beschwerdeführerin letztmals im August 2003 gesehen habe; weil zwischenzeitlich keine Konsultation mehr erfolgt und auch ein Aufgebotstermin unabgemeldet versäumt worden sei, müsse er davon ausgehen, dass zwischenzeitlich keine Verschlechterung eingetreten sei. Dabei handelt es sich jedoch um eine blosse Vermutung von Dr. C._______, welcher keinerlei Beweiswert zukommen kann. Das Ausbleiben von Arztbesuchen der Beschwerdeführerin bei Dr. C._______ ist ohne weiteres durch die zwischenzeitliche Wohnsitznahme der Beschwerdeführerin im Ausland erklärbar.</w:t>
      </w:r>
    </w:p>
    <w:p>
      <w:r>
        <w:rPr>
          <w:b/>
        </w:rPr>
        <w:t>E. 5.3</w:t>
      </w:r>
    </w:p>
    <w:p>
      <w:r>
        <w:t>Es steht demnach fest, dass insbesondere der mit der Sache befasste IV-Stellenarzt, implizit aber auch der behandelnde Arzt in Indien von einer Verschlechterung der gesundheitlichen Situation der Beschwerdeführerin in der Zeit nach dem Erlass der ursprünglichen Rentenverfügung vom 19. März 2004 ausgehen und die Akten keine überzeugenden, dem widersprechenden ärztlichen Angaben enthalten. Damit ist ein Revisionsgrund zu bejahen.</w:t>
      </w:r>
    </w:p>
    <w:p>
      <w:r>
        <w:rPr>
          <w:b/>
        </w:rPr>
        <w:t>E. 6</w:t>
      </w:r>
    </w:p>
    <w:p>
      <w:r>
        <w:t>Was die erwerblichen Auswirkungen der gesundheitlichen Schädigung betrifft, hat Dr. E._______ die Arbeitsunfähigkeit der Beschwerdeführerin in ihrer bisherigen Tätigkeit auf 80% und in angepassten Verweistätigkeiten auf 20% beziffert. Dr.E._______ hat diese Einschätzung in mehreren Stellungnahmen begründet und auch auf wiederholtes Nachfragen der Vorinstanz daran festgehalten (vgl. act. 72, 78, 80); es ist darauf abzustellen, umso mehr als auch Dr. D._______ die Arbeitsunfähigkeit der Beschwerdeführerin auf 80-85% beziffert (act. 70). Gestützt auf diese Annahmen hat die Vorinstanz in einem Einkommensvergleich vom 28. Juni 2007 (act. 75) einen Invaliditätsgrad von 54% ermittelt. Für das Valideneinkommen wurde dabei korrekt der von der Beschwerdeführerin im Jahr 2004 erzielbare Jahreslohn von CHF 56'719.- herangezogen (vgl. auch act. 12), was einem monatli-chen Verdienst von CHF 4'726.58 entspricht. Zur Bestimmung des Invalideneinkommens berechnete die Vorinstanz den Durchschnittslohn aller möglichen Verweistätigkeiten, welche Dr. E._______ in seinem Bericht vom 15. Mai 2007 vorgeschlagen hatte. Grundlage dafür waren die Tabellenlöhne gemäss Lohnstrukturerhebung des Bundesamtes für Statistik (LSE) TA1, Anforderungsniveau 4, Spalte Frauen, im Jahr 2004, umgerechnet auf die durchschnittliche wöchentliche Arbeitszeit von 41.7 Stunden. Vom Durchschnittslohn wurde anschliessend ein leidensbedingter Abzug von 20% vorgenommen und die Leistungsreduktion von 20% abgezogen, was ein monatliches Invalideneinkommen von CHF 2'576.56 ergab. All das ist nicht zu beanstanden. Bei einem Vergleich des Valideneinkommens mit dem Invalideneinkommen resultiert indes nicht die von der Vorinstanz berechnete Erwerbseinbusse von 53.87%, sondern eine solche von 45.48%, was gemäss den bundesgerichtlichen Rundungsregeln zu einem Invaliditätsgrad von 46% führt (BGE 130 V 123 E. 3.2.). Bei diesem Invaliditätsgrad hätte die Beschwerdeführerin, falls sie in der Schweiz wohnen würde, Anspruch auf eine Viertelsrente (Art. 28 Abs. 2 IVG). An ihrem jetzigen Wohnsitz in Indien hat die Beschwerdeführerin beim gleichen Invaliditätsgrad jedoch keinen Rentenanspruch (vgl. dazu oben E. 3.1).</w:t>
      </w:r>
    </w:p>
    <w:p>
      <w:r>
        <w:rPr>
          <w:b/>
        </w:rPr>
        <w:t>E. 7</w:t>
      </w:r>
    </w:p>
    <w:p>
      <w:r>
        <w:t>Zusammenfassend erweist sich die angefochtene Verfügung im Ergebnis als rechtens. Die Beschwerde ist abzuweisen.</w:t>
      </w:r>
    </w:p>
    <w:p>
      <w:r>
        <w:rPr>
          <w:b/>
        </w:rPr>
        <w:t>E. 8</w:t>
      </w:r>
    </w:p>
    <w:p>
      <w:r>
        <w:t>Da der Beschwerdeführerin die unentgeltliche Prozessführung gewährt wurde, sind keine Verfahrenskosten zu erheben (Art. 65 Abs. 1 VwVG).</w:t>
      </w:r>
    </w:p>
    <w:p>
      <w:r>
        <w:rPr>
          <w:b/>
        </w:rPr>
        <w:t>E. 9</w:t>
      </w:r>
    </w:p>
    <w:p>
      <w:r>
        <w:t>Der unterliegenden Beschwerdeführerin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