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C-3203/2012 vom 18. April 2013</w:t>
      </w:r>
    </w:p>
    <w:p>
      <w:r>
        <w:t>Bundesverwaltungsgericht, 2013-04-18, FR</w:t>
      </w:r>
    </w:p>
    <w:p>
      <w:r>
        <w:rPr>
          <w:b/>
        </w:rPr>
        <w:t xml:space="preserve">Quelle: </w:t>
      </w:r>
      <w:r>
        <w:t>https://mcp.opencaselaw.ch/entscheid/bvger_C-3203_2012</w:t>
      </w:r>
    </w:p>
    <w:p>
      <w:r>
        <w:t>FR: TAF C-3203/2012 du 18 avril 2013</w:t>
      </w:r>
    </w:p>
    <w:p>
      <w:r>
        <w:t>IT: TAF C-3203/2012 del 18 aprile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130 V 503, 125 V 413).</w:t>
      </w:r>
    </w:p>
    <w:p>
      <w:r>
        <w:rPr>
          <w:b/>
        </w:rPr>
        <w:t>E. 3.1</w:t>
      </w:r>
    </w:p>
    <w:p>
      <w:r>
        <w:t>En l'espèce, A._______ est citoyenne d'un Etat membre de la communauté européenne. Par conséquent, l'accord entre la Suisse et la Communauté européenne et ses Etats membres sur la libre circulation des personnes du 21 juin 1999 (ALCP, RS 0.142.112.681) est applicable.</w:t>
      </w:r>
    </w:p>
    <w:p>
      <w:r>
        <w:rPr>
          <w:b/>
        </w:rPr>
        <w:t>E. 3.2</w:t>
      </w:r>
    </w:p>
    <w:p>
      <w:r>
        <w:t>Selon l'art. 1er al. 1 ALCP,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(art. 46 par. 3 du règlement (CEE) n° 883/2004).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(pro rata temporis; cf. ATF 136 V 24 consid. 4.3 et les réf. cit.). Les dispositions de la 6ème révision de la LAI (premier volet) en vigueur depuis le 1er janvier 2012 (RO 2011 5659, FF 2010 1647) sont dès lors applicables dans le cas d'espèce.</w:t>
      </w:r>
    </w:p>
    <w:p>
      <w:r>
        <w:rPr>
          <w:b/>
        </w:rPr>
        <w:t>E. 5</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Or, en l'espèce,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la recourante remplissait les conditions d'octroi d'une rente depuis le 27 mars 2012 (six mois après le dépôt de la demande) jusqu'au 7 mai 2012, date de la décision attaquée marquant la limite dans le temps du pouvoir d'examen de l'autorité de recours (ATF 129 V 1 consid. 2.1 avec les réf).</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8.1</w:t>
      </w:r>
    </w:p>
    <w:p>
      <w:r>
        <w:t>En l'espèce, il est admis que A._______, atteinte d'un cancer du côlon (adénocarcinome sigmoïdien), a été opérée le 10 novembre 2010 par résection antérieure et traitée par chimiothérapie (8 cycles de janvier à juin 2011; pces 8 et 15 à 18; cf. également le rapport médical du 7 février 2013 de la Dresse L._______ [TAF pce 23]). Le Dr H._______, médecin SMR, reconnaît dès lors à l'assurée une incapacité de travail entière depuis le 28 octobre 2010 jusqu'au 1er octobre 2011, soit trois mois après l'arrêt de la chimiothérapie (pce 20). Il souligne toutefois, que le formulaire E 213 (pce 8) est imprécis, ne mentionnant pas de date d'examen de l'assurée ou de date à partir de laquelle une capacité de travail entière dans des activités adaptées est reconnue. De plus, il relève que la documentation médicale au dossier est lacunaire concernant l'évolution du cancer de l'assurée.</w:t>
      </w:r>
    </w:p>
    <w:p>
      <w:r>
        <w:rPr>
          <w:b/>
        </w:rPr>
        <w:t>E. 8.2</w:t>
      </w:r>
    </w:p>
    <w:p>
      <w:r>
        <w:t>Par ailleurs, en procédure de recours, la Dresse I._______, oncologue, nouvellement consultée, indique, en opposition à l'appréciation du Dr H._______ (pce 20), qu'il n'est pas possible de se prononcer dans le cas d'espèce sans la production de rapports oncologiques et hospitaliers supplémentaires s'agissant des traitements entrepris (TAF pce 13). Un trouble anxieux et adaptatif réactif est également mis en avant par l'assurée (cf. le rapport du 13 août 2012 du psychologue le Dr J._______ et le rapport du 11 janvier 2013 du psychiatre le Dr M._______ [TAF pces 16 et 23]). Le service médical de l'OAIE estime que l'appréciation d'un psychiatre est nécessaire avant de pouvoir se prononcer à cet égard également (TAF pce 20). Dès lors, sur ces deux points, l'autorité inférieure estime qu'une instruction complémentaire est nécessaire et conclut au renvoi de la cause à son Office pour complément d'instruction (TAF pces 13 et 20). L'assurée ne s'y est pas opposée (TAF pces 16 et 23).</w:t>
      </w:r>
    </w:p>
    <w:p>
      <w:r>
        <w:rPr>
          <w:b/>
        </w:rPr>
        <w:t>E. 8.3</w:t>
      </w:r>
    </w:p>
    <w:p>
      <w:r>
        <w:t>Par conséquent, le Tribunal de céans, constate que le dossier est clairement lacunaire au niveau des diagnostics retenus et de l'appréciation de la capacité de travail de l'assurée, notamment s'agissant de l'évolution de son cancer suite aux traitements entrepris. Par ailleurs, il apparaît que l'assurée a consulté en juin 2012, soit peu de temps après la décision entreprise un psychologue, qui diagnostique un trouble anxieux réactionnel à ses problèmes de santé. Ainsi, à l'instar du service médical de l'OAIE, il apparaît au Tribunal que la cause doit être renvoyée à l'autorité inférieure pour qu'elle complète l'instruction (pces 13 et 20).</w:t>
      </w:r>
    </w:p>
    <w:p>
      <w:r>
        <w:rPr>
          <w:b/>
        </w:rPr>
        <w:t>E. 9</w:t>
      </w:r>
    </w:p>
    <w:p>
      <w:r>
        <w:t>Ainsi, il se justifie, comme le propose l'OAIE dans ses remarques des 9 octobre 2012 et 10 janvier 2013 (TAF pces 13 et 20), d'annuler la décision entreprise et de renvoyer la cause à l'autorité inférieure en application de l'art. 61 PA (ATF 137 V 210 consid. 4.4.1.4) afin qu'elle procède au complément d'instruction requis pas les Drs I._______ et K._______ (TAF pces 13 et 20). L'autorité inférieure établira précisément les diagnostics à retenir pour l'assurée au niveau oncologique et au niveau psychiatrique, ainsi que l'existence d'une éventuelle incapacité de travail dans son activité habituelle et dans des activités de substitution, en précisant pour quelles périodes. L'OAIE complétera l'instruction par tous les moyens nécessaires à l'établissement des faits, en premier lieu en recherchant des informations supplémentaires auprès des médecins spécialistes traitants de l'assurée tant au niveau oncologique que psychiatrique.</w:t>
      </w:r>
    </w:p>
    <w:p>
      <w:r>
        <w:rPr>
          <w:b/>
        </w:rPr>
        <w:t>E. 10</w:t>
      </w:r>
    </w:p>
    <w:p>
      <w:r>
        <w:t>A._______ ayant eu partiellement gain de cause dans le sens d'un renvoi de la cause à l'autorité inférieure (cf. ATF 132 V 215 consid. 6.2), il n'est pas perçu de frais de procédure (art. 63 PA). L'avance de frais de Fr. 400.-- versée par la recourante lui sera restituée dès l'entrée en force du présent jugement. La recourante, ayant agi en étant représentée, il lui est alloué une indemnité globale de dépens de Fr. 1'000.-- à charge de l'autorité inférieure (art. 64 al. 1 PA et art. 7 ss du règlement du 21 février 2008 concernant les frais, dépens, et indemnités fixés par le Tribunal administratif fédéral [FITAF, RS 173.320.2]; cf. également ATF 132 V 215 consid. 6.2), compte tenu de l'importance et de la difficulté de la cause ainsi que du travail effectué par la représentante de la recourante, les observations faites lors de la procédure de recours étant superposables au mémoire de recours de 4 pages.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