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C-31/2015 vom 19. Februar 2015</w:t>
      </w:r>
    </w:p>
    <w:p>
      <w:r>
        <w:t>Bundesverwaltungsgericht, 2015-02-19, DE</w:t>
      </w:r>
    </w:p>
    <w:p>
      <w:r>
        <w:rPr>
          <w:b/>
        </w:rPr>
        <w:t xml:space="preserve">Quelle: </w:t>
      </w:r>
      <w:r>
        <w:t>https://mcp.opencaselaw.ch/entscheid/bvger_C-31_2015</w:t>
      </w:r>
    </w:p>
    <w:p>
      <w:r>
        <w:t>FR: TAF C-31/2015 du 19 février 2015</w:t>
      </w:r>
    </w:p>
    <w:p>
      <w:r>
        <w:t>IT: TAF C-31/2015 del 19 febbraio 2015</w:t>
      </w:r>
    </w:p>
    <w:p>
      <w:pPr>
        <w:pStyle w:val="Heading2"/>
      </w:pPr>
      <w:r>
        <w:t>Regeste</w:t>
      </w:r>
    </w:p>
    <w:p>
      <w:r>
        <w:t>Einreiseverbot</w:t>
      </w:r>
    </w:p>
    <w:p>
      <w:pPr>
        <w:pStyle w:val="Heading2"/>
      </w:pPr>
      <w:r>
        <w:t>Erwägungen</w:t>
      </w:r>
    </w:p>
    <w:p>
      <w:r>
        <w:rPr>
          <w:b/>
        </w:rPr>
        <w:t>E. 1.1</w:t>
      </w:r>
    </w:p>
    <w:p>
      <w:r>
        <w:t>Das Bundesverwaltungsgericht ist für die Beurteilung von Gesuchen um Wiederherstellung einer gesetzlichen oder behördlichen Frist, welche im Verfahren vor dem Bundesverwaltungsgericht selber versäumt worden ist, zuständig (Art. 24 VwVG i.V.m. Art. 37 VGG).</w:t>
      </w:r>
    </w:p>
    <w:p>
      <w:r>
        <w:rPr>
          <w:b/>
        </w:rPr>
        <w:t>E. 1.2</w:t>
      </w:r>
    </w:p>
    <w:p>
      <w:r>
        <w:t>Ist ein Gesuchsteller oder sein Vertreter unverschuldeterweise abgehalten worden, binnen Frist zu handeln, so wird diese wieder hergestellt, sofern er unter Angabe des Grundes innert 30 Tagen nach Wegfall des Hindernisses darum ersucht und die versäumte Rechtshandlung nachholt (Art. 24 Abs. 1 VwVG).</w:t>
      </w:r>
    </w:p>
    <w:p>
      <w:r>
        <w:rPr>
          <w:b/>
        </w:rPr>
        <w:t>E. 1.3</w:t>
      </w:r>
    </w:p>
    <w:p>
      <w:r>
        <w:t>Die Beschwerdeführerin ist durch das Nichteintretensurteil C-1098/2014 berührt; sie hat ein entsprechendes schutzwürdiges Interesse und vorliegend innert 30 Tagen, nachdem sie vom Nichteintretensentscheid Kenntnis erhielt, um Fristwiederherstellung ersuchen lassen. Entgegen den Angaben ihres Rechtsvertreters wurden die verpassten Prozesshandlungen (Bezahlung der 2. und 3. Rate des Kostenvorschusses) bis zum heutigen Tag hingegen nicht nachgeholt. Weil das Fristerstreckungsgesuch - wie nachfolgend aufzuzeigen ist - ohnehin unbegründet ist, kann der diesbezügliche Teil der Eintretensfrage offen bleiben.</w:t>
      </w:r>
    </w:p>
    <w:p>
      <w:r>
        <w:rPr>
          <w:b/>
        </w:rPr>
        <w:t>E. 2.1</w:t>
      </w:r>
    </w:p>
    <w:p>
      <w:r>
        <w:t>Die Wiederherstellung von Fristen dient dazu, die Rechtsnachteile zu beseitigen, die ein Verfahrensbeteiligter wegen unverschuldeter Fristver­säumnis erleidet (Stefan Vogel in: VwVG, Kommentar zum Bundesgesetz über das Verwaltungsverfahren, 2008, N. 1 zu Art. 24 VwVG). Die Möglichkeit der Wiederherstellung einer Frist im Sinne von Art. 24 Abs. 1 VwVG besteht sowohl für gesetzliche wie behördlich angesetzte Fristen, die versäumt worden sind.</w:t>
      </w:r>
    </w:p>
    <w:p>
      <w:r>
        <w:rPr>
          <w:b/>
        </w:rPr>
        <w:t>E. 2.2</w:t>
      </w:r>
    </w:p>
    <w:p>
      <w:r>
        <w:t>Die Praxis zur Fristwiederherstellung ist sehr restriktiv, darf doch im Interesse der Rechtssicherheit und eines geordneten Verfahrens ein Hinderungsgrund nicht leichthin angenommen werden (vgl. Urteil des BVGer C-6945/2013 vom 17. März 2014 E. 2.1 m.H.). Für das Versäumnis müssen vielmehr objektive Gründe vorliegen und der Partei resp. deren Vertretung darf keine Nachlässigkeit vorgeworfen werden können. Als erheblich sind damit nur solche Gründe zu betrachten, die der ersuchenden Partei auch bei Aufwendung der üblichen Sorgfalt die Wahrung ihrer Interessen verunmöglicht oder unzumutbar erschwert hätten. Das Recht auf Wiederherstellung der Frist ist zudem einer Partei zuzuerkennen, welche aufgrund des Verhaltens der Behörde eine Frist hat verstreichen lassen (vgl. André Moser et al., Prozessieren vor dem Bundesverwaltungsgericht, 2013, Rz. 2.139 ff. m.H.).</w:t>
      </w:r>
    </w:p>
    <w:p>
      <w:r>
        <w:rPr>
          <w:b/>
        </w:rPr>
        <w:t>E. 2.3</w:t>
      </w:r>
    </w:p>
    <w:p>
      <w:r>
        <w:t>Nicht als unverschuldete Hindernisse gelten namentlich Unkenntnis der gesetzlichen Vorschriften, Arbeitsüberlastung, Ferienabwesenheit oder organisatorische Unzulänglichkeiten. Hat eine beigezogene Hilfsperson (z.B. ein Parteivertreter) die Verspätung verschuldet, muss sich die vertretene Person dies anrechnen lassen. Dasselbe gilt, wenn ein Erfüllungsgehilfe beigezogen wurde. So haftet ein Anwalt für die Handlungen bzw. Unterlassungen der Kanzlei. Bei der Einhaltung von Fristen ist ihm hierbei ein rechtes Mass an Sorgfalt zuzumuten, gehört doch gerade die Wahrung von Fristen für die Klientel zu den elementaren Anforderungen dieses Berufes; der Anwalt hat seine Kanzlei mit anderen Worten so zu organisieren, dass die Fristeinhaltung beispielsweise auch bei seiner Abwesenheit gewährleistet ist (siehe Moser et al., a.a.O., Rz. 2.143 - 2.145).</w:t>
      </w:r>
    </w:p>
    <w:p>
      <w:r>
        <w:rPr>
          <w:b/>
        </w:rPr>
        <w:t>E. 3</w:t>
      </w:r>
    </w:p>
    <w:p>
      <w:r>
        <w:t>Im vorliegenden Fall hat die Beschwerdeführerin die Zwischenverfügung vom 25. August 2014 (Bewilligung der beantragten Ratenzahlungen mit Angabe der einzelnen Ratenhöhen und der entsprechenden Zahlungsfristen) nachweislich erhalten. Die 1. Rate wurde denn auch fristgerecht geleistet. Wenn der Parteivertreter argumentiert, aufgrund eines Büroversehens sei der zweite Teilbetrag intern falsch verrechnet worden, macht er offenkundig keine objektiven, unverschuldeten Gründe für das Verpassen der Zahlung dieser 2. Rate geltend. Vielmehr müssen organisatorische Unzulänglichkeiten dazu geführt haben. Überdies ist auch die 3. Rate nie entrichtet worden. Der Parteivertreter hat den Eintritt der Säumnisfolgen aufgrund prozessualer Nachlässigkeit folglich selbst zu verantworten, mithin die Beschwerdeführerin deren Konsequenzen zu tragen.</w:t>
      </w:r>
    </w:p>
    <w:p>
      <w:r>
        <w:rPr>
          <w:b/>
        </w:rPr>
        <w:t>E. 4</w:t>
      </w:r>
    </w:p>
    <w:p>
      <w:r>
        <w:t>Nach dem Gesagten ist das Gesuch um Wiederherstellung der Kostenvorschussfrist (2. und 3. Rate) abzuweisen, soweit darauf einzutreten ist.</w:t>
      </w:r>
    </w:p>
    <w:p>
      <w:r>
        <w:rPr>
          <w:b/>
        </w:rPr>
        <w:t>E. 5</w:t>
      </w:r>
    </w:p>
    <w:p>
      <w:r>
        <w:t>Bei diesem Ausgang des Verfahrens sind die Kosten der Beschwerdeführerin aufzuerlegen (vgl. Art. 63 Abs. 1 VwVG i.V.m. Art. 1 und Art.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