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C-31/2007 vom 14. Oktober 2009</w:t>
      </w:r>
    </w:p>
    <w:p>
      <w:r>
        <w:t>Bundesverwaltungsgericht, 2009-10-14, DE</w:t>
      </w:r>
    </w:p>
    <w:p>
      <w:r>
        <w:rPr>
          <w:b/>
        </w:rPr>
        <w:t xml:space="preserve">Quelle: </w:t>
      </w:r>
      <w:r>
        <w:t>https://mcp.opencaselaw.ch/entscheid/bvger_C-31_2007</w:t>
      </w:r>
    </w:p>
    <w:p>
      <w:r>
        <w:t>FR: TAF C-31/2007 du 14 octobre 2009</w:t>
      </w:r>
    </w:p>
    <w:p>
      <w:r>
        <w:t>IT: TAF C-31/2007 del 14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Gesetz keine abweichenden Bestimmungen vorsieht (Art. 37 VGG).</w:t>
      </w:r>
    </w:p>
    <w:p>
      <w:r>
        <w:rPr>
          <w:b/>
        </w:rPr>
        <w:t>E. 1.3</w:t>
      </w:r>
    </w:p>
    <w:p>
      <w:r>
        <w:t>Zum Zeitpunkt des Inkrafttretens des Verwaltungsgerichtsgesetzes am 1. Januar 2007 beim EJPD bereits hängige Rechtsmittelverfahren vorliegenden Inhalts wurden vom Bundesverwaltungsgericht übernommen. Die Beurteilung erfolgt nach neuem Verfahrensrecht (Art. 53 Abs. 2 VGG).</w:t>
      </w:r>
    </w:p>
    <w:p>
      <w:r>
        <w:rPr>
          <w:b/>
        </w:rPr>
        <w:t>E. 1.4</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BVGE 2008/1 E. 2). Die angefochtene Verfügung erging vor dem Inkrafttreten des AuG; das Verfahren war folglich vor diesem Zeitpunkt eingeleitet worden. Für eine materielle Beurteilung der vorliegenden Beschwerde wäre daher auf die altrechtliche Regelung (insbesondere auf Art. 13 Abs. 1 ANAG) abzustellen.</w:t>
      </w:r>
    </w:p>
    <w:p>
      <w:r>
        <w:rPr>
          <w:b/>
        </w:rPr>
        <w:t>E. 4</w:t>
      </w:r>
    </w:p>
    <w:p>
      <w:r>
        <w:t>Vor einer allfälligen materiellrechtlichen Beurteilung ist jedoch in formeller Hinsicht zu prüfen, ob die Vorinstanz mit dem Erlass der angefochtenen Verfügung nicht den Anspruch des Beschwerdeführers auf rechtliches Gehör verletzt hat, insoweit es ihm nicht die Möglichkeit gewährt hat, sich vorgängig zur beabsichtigten Verhängung einer Einreisesperre zu äussern, sowie aufgrund der äusserst rudimentären Begründung der Verfügung.</w:t>
      </w:r>
    </w:p>
    <w:p>
      <w:r>
        <w:rPr>
          <w:b/>
        </w:rPr>
        <w:t>E. 4.1</w:t>
      </w:r>
    </w:p>
    <w:p>
      <w:r>
        <w:t>Der Anspruch auf rechtliches Gehör, wie ihn Lehre und Rechtsprechung aus Art.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Orientierung,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4.2</w:t>
      </w:r>
    </w:p>
    <w:p>
      <w:r>
        <w:t>Die Begründungspflicht der Behörden - ebenfalls Teilgehalt des Anspruchs auf rechtliches Gehör (vgl. BVGE 2007/21 E. 10.2 mit Hinweisen) - soll verhindern, dass diese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je komplexer die Sach- und Rechtslage (vgl. BVGE 2007/27 E. 5.5.2 mit Hinweisen) und namentlich auch je intensiver der Eingriff in die Stellung des Betroffenen ist (vgl. zum Ganzen BERNHARD WALDMANN/JÜRG BICKEL sowie FELIX UHLMANN/ALEXANDRA SCHWANK, in: Bernhard Waldmann/Philippe Weissenberger [Hrsg.], Praxiskommentar VwVG, Zürich 2009, N 52 f. zu Art. 29 und N 20 f. zu Art. 35; ebenso LORENZ KNEUBÜHLER, in: Christoph Auer/Markus Müller/Benjamin Schindler [Hrsg.], Kommentar zum Bundesgesetz über das Verwaltungsverfahren [VwVG], Zürich/St. Gallen 2008, Rz. 4 ff. und insb. 9 ff. zu Art. 35 VwVG).</w:t>
      </w:r>
    </w:p>
    <w:p>
      <w:r>
        <w:rPr>
          <w:b/>
        </w:rPr>
        <w:t>E. 4.3</w:t>
      </w:r>
    </w:p>
    <w:p>
      <w:r>
        <w:t>Auf den Gehörsanspruch als solchen kann nicht verzichtet werden. Ob das rechtliche Gehör gewährt wurde, ist im Beschwerdeverfahren von Amtes wegen zu überprüfen (vgl. ALFRED KÖLZ/ISABELLE HÄNER, a.a.O., Rz. 130).</w:t>
      </w:r>
    </w:p>
    <w:p>
      <w:r>
        <w:rPr>
          <w:b/>
        </w:rPr>
        <w:t>E. 5.1</w:t>
      </w:r>
    </w:p>
    <w:p>
      <w:r>
        <w:t>Den Akten ist zu entnehmen, dass dem Beschwerdeführer von der Vorinstanz keine Gelegenheit gewährt wurde, vorgängig zur zu verhängenden Fernhaltemassnahme Stellung zu nehmen. Der Antrag der Kantonspolizei Bern um Erlass einer Einreisesperre erfolgte per Telefax an das BFM am 15. November 2006 um 14.56 Uhr. Dieses verhängte die beantragte Massnahme - wie erwähnt - noch gleichentags. In den der Vorinstanz zum Zeitpunkt des Verfügungserlasses vorliegenden Unterlagen (vgl. die Erwähnung der Beilagen im Antrag) deutete nichts darauf hin, dass dem Beschwerdeführer bereits durch kantonale Behörden (beispielsweise die Kantonspolizei) das rechtliche Gehör zu einer allenfalls zu verhängenden Fernhaltemassnahme gewährt worden wäre. Das BFM wäre daher gehalten gewesen, entweder selbst den Beschwerdeführer über das laufende Verfahren zu orientieren und ihm Gelegenheit zu geben, sich dazu zu äussern, oder aber zumindest durch entsprechende Nachforschungen bei den kantonalen Behörden sicherzustellen, dass ihm das Anhörungsrecht bereits gewährt worden war. Dass der Antrag und der Erlass der Verfügung in zeitlicher Hinsicht praktisch zusammenfielen, lässt darauf schliessen, dass es weder das eine noch das andere getan hat. Der Beschwerdeführer hatte folglich zu keinem Zeitpunkt die Möglichkeit, sich vorgängig zum Verfügungserlass zu äussern und damit insbesondere Einfluss auf die Ermittlung des rechtserheblichen Sachverhalts zu nehmen; er war vielmehr nicht einmal vom entsprechenden gegen ihn laufenden Verfahren in Kenntnis gesetzt worden. Zwar wies ihn der Migrationsdienst des Kantons Bern in einem Schreiben vom 24. November 2006 nebenbei darauf hin, dass das BFM ihm in einem separaten Verfahren das rechtliche Gehör zur Verhängung einer Einreisesperre gewähren werde. Zu diesem Zeitpunkt war die fragliche Verfügung jedoch bereits erlassen (wenngleich dem Beschwerdeführer noch nicht ausgehändigt) worden, ohne dass ihm diese Gelegenheit gegeben worden war. Aus den Akten geht nicht hervor und die Vorinstanz macht auch nicht geltend, dass die vorgängige Gewährung des Anhörungsrechts nicht erforderlich oder aufgrund zeitlicher Dringlichkeit nicht möglich gewesen wäre (vgl. Art. 30 Abs. 2 Bst. a-e VwVG). Der Beschwerdeführer befand sich seit Juli 2005 im vorzeitigen Strafvollzug (vgl. dazu für das neue - seit 1. Januar 2007 geltende - Recht Art. 75 Abs. 2 StGB [SR 311.0]). Das letzte gegen ihn ergangene Strafurteil (auf welches in der Begründung der angefochtenen Verfügung ausschliesslich abgestellt wird) war am 30. März 2006 gefällt worden. Ab diesem Zeitpunkt war daher klar, dass er (frühestens) am 2. Dezember 2006 (Erstehung von zwei Dritteln der Strafe) bedingt vorzeitig aus dem Strafvollzug würde entlassen werden können. Bereits am 14. September 2006 stellte er denn auch gegenüber der Abteilung Straf- und Massnahmenvollzug der kantonalen Polizei- und Militärdirektion einen entsprechenden Antrag, welchem diese mit Verfügung vom 19. Oktober 2006 stattgab. Dem BFM wurde zudem von Seiten der kantonalen Polizeibehörde am 15. November 2006 im Rahmen des Antrags auf Verhängung der Einreisesperre mitgeteilt, dass der Betroffene am 4. Dezember 2006 nach Deutschland ausgeschafft werde. Angesichts des Umstands, dass der Zeitpunkt einer (allfälligen) Entlassung aus dem Strafvollzug somit schon seit geraumer Zeit bekannt war, ist nicht einzusehen, warum es der Vorinstanz nicht hätte möglich sein sollen, das Verfahren auf Erlass einer allfälligen Fernhaltemassnahme so zu terminieren, dass der Beschwerdeführer rechtzeitig dazu hätte angehört werden können. Jedenfalls bestand keine zeitliche Dringlichkeit bzw. war keine Gefahr im Verzuge (vgl. Art. 30 Abs. 2 Bst. e VwVG), welche es dem BFM erlaubt hätte, von einer vorgängigen Anhörung des Beschwerdeführers abzusehen.</w:t>
      </w:r>
    </w:p>
    <w:p>
      <w:r>
        <w:rPr>
          <w:b/>
        </w:rPr>
        <w:t>E. 5.2</w:t>
      </w:r>
    </w:p>
    <w:p>
      <w:r>
        <w:t>Die Begründung der angefochtenen Verfügung erschöpft sich - abgesehen von einer Auflistung der Tatbestände, derentwegen der Beschwerdeführer am 30. März 2006 verurteilt wurde, und die dreieinhalb der viereinhalb Zeilen ausmacht, aus denen die Begründung besteht - in der lapidaren Ausführung, "das Verhalten" habe "zu Klagen Anlass gegeben", sowie im Hinweis "unerwünschter Ausländer". Die zur Anwendung gelangende Gesetzesnorm (Art. 13 Abs. 1 ANAG) bzw. der von der Behörde als erfüllt erachtete Tatbestand geht daraus nicht hervor, was gemäss bundesgerichtlicher Rechtsprechung doch zumindest als wünschbar erscheint (vgl. BGE 131 II 200 E. 4.3 S. 205). Insbesondere aber fehlt eine erkenn- und nachvollziehbare Prüfung der Frage des Vorliegens der Voraussetzungen für die Verhängung einer Einreisesperre und in diesem Zusammenhang namentlich der Vereinbarkeit mit dem Freizügigkeitsabkommen, auf welches sich der Beschwerdeführer als deutscher Staatsangehöriger berufen kann (vgl. dazu eingehender unter E. 6). Zudem ist auch in keiner Weise ersichtlich, gestützt auf welche Überlegungen die Vorinstanz die Anordnung der fraglichen Fernhaltemassnahme sowie namentlich ihre Dauer als angemessen bzw. verhältnismässig beurteilte. Eine Abwägung der einander gegenüberstehenden öffentlichen und privaten Interessen wurde jedenfalls nicht in erkennbarer Weise vorgenommen. Damit ist die Vorinstanz auch ihrer Begründungspflicht nicht in hinreichender Weise nachgekommen. In diesem Zusammenhang stellt sich erneut die bereits früher aufgeworfene Frage (vgl. das Urteil des Bundesverwaltungsgerichts C-7180/2007 vom 8. April 2008 E. 3.3 am Ende), ob die Verwendung eines Formulars mit Kurzbegründung der Natur und Tragweite einer in ihren Auswirkungen doch meist sehr einschneidenden Massnahme wie einer Einreisesperre bzw. einem Einreiseverbot gerecht wird (namentlich nach der von Lorenz Kneubühler, a.a.O., Rz. 10 zu Art. 35 VwVG, vertretenen Meinung, welcher angesichts der Schwere des Eingriffs bei ausländerrechtlichen Fernhaltemassnahmen für eine eingehendere Begründung plädiert, dürfte dies zu verneinen sein). In der Literatur wird die Meinung vertreten, Kurzbegründungen dürften allenfalls dort zulässig sein, wo Adressatinnen und Adressaten erfahrungsgemäss über die notwendigen Spezialkenntnisse verfügen, um die Verfügung auf dieser Grundlage sachgerecht anzufechten (Felix Uhlmann/Alexandra Schwank, a.a.O., N 16 zu Art. 35). Davon ist im Fall einer Einreisesperre bzw. eines Einreiseverbotes - insbesondere in Konstellationen, in welchen eine Person betroffen ist, welche Ansprüche aus dem Freizügigkeitsabkommen ableiten kann - nicht auszugehen. Das Ausfertigen einer Verfügung auf einem elektronisch verwalteten Formular ist allerdings nicht zu beanstanden, wenn dieses Raum lässt für eine dem Fall angemessene, einlässliche Begründung und dieser von der verfügenden Behörde auch tatsächlich genutzt wird (vgl. in diesem Zusammenhang auch das Urteil des Bundesverwaltungsgerichts C-2492/2008 vom 31. August 2009 E. 3.3.6).</w:t>
      </w:r>
    </w:p>
    <w:p>
      <w:r>
        <w:rPr>
          <w:b/>
        </w:rPr>
        <w:t>E. 5.3.1</w:t>
      </w:r>
    </w:p>
    <w:p>
      <w:r>
        <w:t>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a.a.O., Rz. 16 zu Art. 29 VwVG; ANDRÉ MOSER/MICHAEL BEUSCH/LORENZ KNEUBÜHLER, Prozessieren vor dem Bundesverwaltungsgericht, Lausanne/Zürich/Bern 2008, Rz. 3.110; BGE 132 V 387 E. 5 S. 390; BGE 127 V 431 E. 3d/aa S. 437 f.; BVGE 2007/27 E. 10.1; BVGE 2007/30 E. 5.5.1; Urteil der Schweizerischen Asylrekurskommission vom 8. Juni 2004, veröffentlicht in VPB 69.28 E. 7e). 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(BGE 133 I 201 E. 2.2 S. 204 f.; BGE 132 V 387 E. 5.1 S. 390 und ebenso bereits BGE 116 V 182 E. 1b S. 185 f. mit Hinweisen sowie E. 3d S. 187). Nach in der Lehre vertretener Auffassung fällt eine Heilung dabei nur in Fällen nicht besonders schwerwiegender Verletzungen von Parteirechten in Betracht (vgl. BERNHARD WALDMANN/JÜRG BICKEL, a.a.O., N 115 f. zu Art. 29; PATRICK SUTTER, a.a.O., Rz. 21 ff. zu Art. 29; ANDRÉ MOSER/MICHAEL BEUSCH/LORENZ KNEUBÜHLER, a.a.O.,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(vgl. BGE 133 I 201 E. 2.2 S. 204 f.; BGE 132 V 387 E. 5.1 S. 390). Diesen Entscheiden ist seitens der Lehre teilweise heftige Kritik erwachsen (vgl. insb. PATRICK SUTTER, a.a.O., Rz. 21 zu Art. 29; vgl. auch BERNHARD WALDMANN/JÖRG BICKEL, a.a.O., N 116 sowie N 125 ff. zu Art. 29). Den verfahrensökonomischen Überlegungen ist aber jedenfalls dann kein entscheidendes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Rz. 18 zu Art. 29 VwVG; vgl. ebenso ANDRÉ MOSER/MICHAEL BEUSCH/LORENZ KNEUBÜHLER, a.a.O., Rz. 3.113 mit weiteren Hinweisen; BERNHARD WALDMANN/JÜRG BICKEL, a.a.O., N 126 zu Art. 29; BGE 126 II 111 E. 6b/aa S. 123 f. mit weiteren Hinweisen sowie Urteile des Bundesverwaltungsgerichts C-8027/2008 vom 2. September 2009 E. 5.3, C-1618/2007 vom 27. Februar 2009 E. 3.3 und C-3985/2007 vom 2. Februar 2009 E. 4.3).</w:t>
      </w:r>
    </w:p>
    <w:p>
      <w:r>
        <w:rPr>
          <w:b/>
        </w:rPr>
        <w:t>E. 5.3.2</w:t>
      </w:r>
    </w:p>
    <w:p>
      <w:r>
        <w:t>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Andererseits ist vorliegend von einer schwerwiegenden Verletzung der Parteirechte auszugehen. Aufgrund des Vorgehens der Vorinstanz hatte der Beschwerdeführer nicht einmal Kenntnis vom gegen ihn laufenden Verfahren auf Erlass einer Einreisesperre. Entsprechend konnte er auch die ihm im Verfahren zustehenden Mitwirkungsrechte nicht wahrnehmen. Dass sich die Vorinstanz auf Vernehmlassungsstufe schliesslich doch mit gewissen relevanten Fragen (namentlich derjenigen der aktuellen Gefährdung sowie der familiären Verhältnisse) ansatzweise auseinandergesetzt hat, ändert an der Schwere der Verletzung nichts, weshalb der Verfahrensmangel auf Rechtsmittelebene nicht geheilt werden kann. Gegen die Zulässigkeit der Heilung spricht ferner der Umstand, dass der Entscheid betreffend Anordnung und Dauer des Einreiseverbots eine grosse Ermessenskomponente beinhaltet (vgl. BGE 104 Ib 129 E. 7 S. 137). Schliesslich stellt die Gehörsverletzung gerade im Zusammenhang mit der Anordnung von Einreisesperren bzw. -verboten auch keinen Einzelfall dar; vielmehr ist diesbezüglich eine gewisse Regelmässigkeit auszumachen (siehe etwa die bereits erwähnten Urteile des Bundesverwaltungsgerichts C-8027/2008 vom 2. September 2009, C-1618/2007 vom 27. Februar 2009 und C-3985/2007 vom 2. Februar 2009 sowie C-7180/2007 vom 8. April 2008), welche nach dem Gesagten eine Kassation zur Folge hat.</w:t>
      </w:r>
    </w:p>
    <w:p>
      <w:r>
        <w:rPr>
          <w:b/>
        </w:rPr>
        <w:t>E. 6</w:t>
      </w:r>
    </w:p>
    <w:p>
      <w:r>
        <w:t>Zur festgestellten Verletzung des rechtlichen Gehörs kommen Mängel bei der Sachverhaltsermittlung (vgl. Art. 49 Bst. b VwVG) hinzu. Offenkundig lagen der Vorinstanz zum Zeitpunkt des Verfügungserlasses äusserst spärliche Akten vor (die kantonalen Akten wurden nicht beigezogen). Hinsichtlich der gegenüber dem Beschwerdeführer bestehenden Verurteilungen war ihnen lediglich ein Minimum an Angaben zu entnehmen: Aus dem Vollzugsauftrag vom 12. Oktober 2006 und der Verfügung der Abteilung Straf- und Massnahmenvollzug der Polizei- und Militärdirektion betreffend bedingte Entlassung vom 19. Oktober 2006, welche dem Antrag auf Erlass einer Einreisesperre beilagen, gehen im Wesentlichen lediglich die Urteilsdaten, die den Verurteilungen zugrundeliegenden Delikte sowie das jeweilige Strafmass hervor. Mit der Verfügung vom 19. Oktober 2006 war dem Beschwerdeführer jedoch die vorzeitige bedingte Entlassung aus dem Strafvollzug auf Anfang Dezember bewilligt worden; in der Begründung dieser Verfügung wird auf den Therapiebericht des Forensisch-Psychiatrischen Dienstes der Universität Bern vom 26. September 2006 verwiesen, welcher ihm einen "sehr guten Therapieverlauf" attestiere (Verfügung S. 3). Gleichzeitig war mit dieser Verfügung auch die rund ein halbes Jahr zuvor mit dem erwähnten Strafurteil angeordnete ambulante Massnahme (Psychotherapie) - dem mit dem Bericht gestellten Antrag entsprechend - unter Verweis auf aArt. 43 Ziff. 4 StGB (wonach die zuständige Behörde die Aufhebung der Massnahme beschliesst, wenn ihr Grund weggefallen ist) auf denselben Zeitpunkt hin aufgehoben worden. Weiter wird in der fraglichen Verfügung ausgeführt, einem (sich nicht bei den Akten befindlichen) Führungsbericht vom 12. Oktober 2006 könne entnommen werden, der Beschwerdeführer werde als "leicht beeinflussbar" erlebt und ein Bedürfnis, sein Verhalten nachhaltig ändern zu wollen, sei nicht spürbar. Alleine gestützt auf diese in der erwähnten Verfügung lediglich wiedergegebenen Einschätzungen zieht die Vorinstanz in ihrer Vernehmlassung den Schluss, der Beschwerdeführer sei "offenkundig nicht bereit, sein Verhalten nachhaltig zu ändern"; damit will sie die für die Verhängung einer Einreisesperre bzw. eines Einreiseverbots gegenüber einer Person, welche sich - wie der Beschwerdeführer - auf das Freizügigkeitsabkommen berufen kann, erforderliche aktuelle, schwerwiegende Gefährdung der öffentlichen Sicherheit und Ordnung im Sinne der Richtlinie 64/221/EWG begründen (vgl. diesbezüglich beispielsweise das Urteil des Bundesverwaltungsgerichts C-3985/2007 vom 2. Februar 2009 E. 5.1 und 5.2 mit Hinweisen). Die Abteilung Straf- und Massnahmenvollzug war jedoch nach Würdigung der - ihr vorliegenden - Berichte offenkundig zum gegenteiligen Schluss gelangt, ansonsten sie den Anträgen auf bedingte Entlassung und Aufhebung der ambulanten Massnahme nicht stattgegeben hätte. Angesichts dieser Umstände, die nicht offenkundig für eine aktuelle Gefährdung durch den Beschwerdeführer sprechen, wäre das BFM gehalten gewesen, diese Frage eingehend(er) zu prüfen. In diesem Zusammenhang wäre es insbesondere naheliegend gewesen, sich zunächst und in erster Linie zumindest die Strafurteile samt Begründung sowie die beiden erwähnten Berichte (den Therapiebericht vom 26. September und den Führungsbericht vom 12. Oktober 2006) in vollständiger Ausfertigung zu beschaffen. Das BFM war zudem - wie aus den in der angefochtenen Verfügung enthaltenen Angaben ersichtlich ist - zum Zeitpunkt des Verfügungserlasses davon ausgegangen, dass der Beschwerdeführer verheiratet war (in Tat und Wahrheit war das Scheidungsurteil am 21. August 2006 - also noch vor Anordnung der Einreisesperre - ergangen). Besonders unter diesen Umständen wäre das BFM verpflichtet gewesen, den Fragen nach einem allenfalls bestehenden Kindesverhältnis sowie den Auswirkungen der zu verhängenden Einreisesperre auf das Familien- bzw. Eheleben nachzugehen. Den Akten und der Begründung der angefochtenen Verfügung kann jedenfalls nicht entnommen werden, dass entsprechende Abklärungen stattgefunden hätten sowie eine Abwägung der öffentlichen und diesen gegenüberstehenden privaten Interessen durchgeführt worden wäre. Damit ist das BFM auch seiner Pflicht zur Abklärung des rechtserheblichen Sachverhalts - selbst desjenigen, der ihr ohne vorgängige Anhörung des Beschwerdeführers bekannt war - nicht hinreichend nachgekommen (vgl. Art. 49 Bst. b VwVG).</w:t>
      </w:r>
    </w:p>
    <w:p>
      <w:r>
        <w:rPr>
          <w:b/>
        </w:rPr>
        <w:t>E. 7</w:t>
      </w:r>
    </w:p>
    <w:p>
      <w:r>
        <w:t>Zusammenfassend ist festzuhalten, dass die angefochtene Verfügung Bundesrecht verletzt (vgl. Art. 49 Bst. a und b VwVG). Die Beschwerde ist daher gutzuheissen, die Verfügung vom 15. November 2006 aufzuheben und die Sache zur Neubeurteilung an die Vorinstanz zurückzuweisen.</w:t>
      </w:r>
    </w:p>
    <w:p>
      <w:r>
        <w:rPr>
          <w:b/>
        </w:rPr>
        <w:t>E. 8</w:t>
      </w:r>
    </w:p>
    <w:p>
      <w:r>
        <w:t>Bei diesem Ausgang des Verfahrens sind dem Beschwerdeführer keine Kosten aufzuerlegen (Art. 63 Abs. 1 VwVG). Der bereits geleistete Kostenvorschuss in der Höhe von Fr. 800.- ist ihm von der Gerichtskasse zurückzuerstatten. Ihm ist schliesslich für die im Verfahren vor dem Bundesverwaltungsgericht erwachsenen notwendigen und verhältnismässig hohen Kosten zulasten der Vorinstanz eine auf Fr. 500.- festzusetzende Parteientschädigung zuzusprechen (Art. 64 Abs. 1 VwVG i.V.m. Art. 7 und 14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