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C-319/2009 vom 29. Mai 2012</w:t>
      </w:r>
    </w:p>
    <w:p>
      <w:r>
        <w:t>Bundesverwaltungsgericht, 2012-05-29, DE</w:t>
      </w:r>
    </w:p>
    <w:p>
      <w:r>
        <w:rPr>
          <w:b/>
        </w:rPr>
        <w:t xml:space="preserve">Quelle: </w:t>
      </w:r>
      <w:r>
        <w:t>https://mcp.opencaselaw.ch/entscheid/bvger_C-319_2009</w:t>
      </w:r>
    </w:p>
    <w:p>
      <w:r>
        <w:t>FR: TAF C-319/2009 du 29 mai 2012</w:t>
      </w:r>
    </w:p>
    <w:p>
      <w:r>
        <w:t>IT: TAF C-319/2009 del 29 maggio 2012</w:t>
      </w:r>
    </w:p>
    <w:p>
      <w:pPr>
        <w:pStyle w:val="Heading2"/>
      </w:pPr>
      <w:r>
        <w:t>Regeste</w:t>
      </w:r>
    </w:p>
    <w:p>
      <w:r>
        <w:t>Zuteilung zu den Prämientarifen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des Bundesgesetzes vom 20. März 1981 über die Unfallversicherung (UVG, SR 832.20) ausdrücklich geregelt und vorliegend gegeben.</w:t>
      </w:r>
    </w:p>
    <w:p>
      <w:r>
        <w:rPr>
          <w:b/>
        </w:rPr>
        <w:t>E. 2</w:t>
      </w:r>
    </w:p>
    <w:p>
      <w:r>
        <w:t>Das Verfahren vor dem Bundesverwaltungsgericht richtet sich nach dem VwVG,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hat ein schutzwürdiges Interesse an deren Aufhebung oder Abänderung (Art. 59 ATSG, Art. 48 Abs. 1 VwVG). Auf die Be-schwerde ist deshalb einzutreten, nachdem auch der Kostenvorschuss fristgerecht geleistet wurde.</w:t>
      </w:r>
    </w:p>
    <w:p>
      <w:r>
        <w:rPr>
          <w:b/>
        </w:rPr>
        <w:t>E. 2.2</w:t>
      </w:r>
    </w:p>
    <w:p>
      <w:r>
        <w:t>Nicht einzutreten ist auf die Beschwerde, soweit die Beschwerdeführerin die Einreihung in den Prämientarif 2007 rügt. Anfechtungsgegen­stand bildet der Einspracheentscheid betreffend Einreihung im Prämientarif 2008. Die vorangehende Einreihungsverfügung ist in Rechtskraft erwachsen, weshalb sie einer gerichtlichen Überprüfung entzogen ist.</w:t>
      </w:r>
    </w:p>
    <w:p>
      <w:r>
        <w:rPr>
          <w:b/>
        </w:rPr>
        <w:t>E. 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Probleme in der praktischen Umsetzung, Schweizerisches Zentralblatt für Staats- und Verwaltungsrecht [ZBl] 110/2009 S. 442 ff.).</w:t>
      </w:r>
    </w:p>
    <w:p>
      <w:r>
        <w:rPr>
          <w:b/>
        </w:rPr>
        <w:t>E. 3.2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In diesem Zusammenhang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Gesamtzusammenhang trotzdem nicht zu beanstanden ist (Urteil des Eidgenössischen Versicherungsgerichts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vom 13. Dezember 2004, publiziert in VPB 69.73, E. 3).</w:t>
      </w:r>
    </w:p>
    <w:p>
      <w:r>
        <w:rPr>
          <w:b/>
        </w:rPr>
        <w:t>E. 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4</w:t>
      </w:r>
    </w:p>
    <w:p>
      <w:r>
        <w:t>Betreffend die bei der Prämientarifgestaltung und der Einreihung der Betriebe in diesen Tarif zu beachtenden wichtigsten gesetzlichen Bestimmungen und massgebenden Grundsätze kann auf die Ausführungen (E. 5) im - die Beschwerdeführerin betreffenden - rechtskräftigen Urteil des Bundesverwaltungsgerichts C-1164/2007 vom 6. Juni 2008 verwiesen werden (vgl. auch BVGE 2007/27 E. 5). Gleiches gilt für die Grundsätze der Berechnungen, die im Rahmen des BMS 03 zur Festsetzung der Nettoprämien führen (Urteil des Bundesverwaltungsgerichts C-1164/2007 E. 6). Die Rechtsprechung der Rekurskommission, wonach das Bonus-Malus-System, insbesondere in der Ausgestaltung des BMS 03, grundsätzlich zulässig ist, hat das Bundesverwaltungsgericht mit Urteil C-3189/2006 vom 5. Mai 2008 übernommen (E. 8.4 in fine). Entsprechend werden Prämienerhöhungen, welche durch einen Systemwechsel in der Prämienbemessung (in casu der Wechsel vom BMS 95 zum BMS 03) bedingt sind, akzeptiert (Urteil des Bundesverwaltungsgerichts C-3189/2006 E. 8.5.3 sowie Urteil der Rekurskommission vom 13. Dezem­ber 2004, publiziert in VPB 69.73, E. 8 f.).</w:t>
      </w:r>
    </w:p>
    <w:p>
      <w:r>
        <w:rPr>
          <w:b/>
        </w:rPr>
        <w:t>E. 5</w:t>
      </w:r>
    </w:p>
    <w:p>
      <w:r>
        <w:t>Streitig und im vorliegenden Fall zu prüfen ist die Einreihung im Prämientarif BUV 2008. Von der Beschwerdeführerin zu Recht nicht bestritten wird dabei die Zuteilung ihres Betriebes zur Klasse 41A, Unterklassenteil A0 (Betrieb, der Arbeiten des Bauhauptgewerbes ausführt).</w:t>
      </w:r>
    </w:p>
    <w:p>
      <w:r>
        <w:rPr>
          <w:b/>
        </w:rPr>
        <w:t>E. 5.1</w:t>
      </w:r>
    </w:p>
    <w:p>
      <w:r>
        <w:t>Betriebe, die Arbeiten des Bauhauptgewerbes ausführen (Klasse 41A, Unterklassenteil A0) werden im BUV-Grundtarif der Vorinstanz für das Jahr 2008 grundsätzlich - das heisst, wenn kein Bonus oder Malus zu berücksichtigen ist - in der Stufe 110 eingereiht. Der Basissatz (Nettoprämiensatz) beträgt demnach 4.08% (Grundlagenblatt BMS 03, BUV 2008 [im Folgenden: Grundlagenblatt 2008] Ziff. 3.1 und 4.1; act. 1.5).</w:t>
      </w:r>
    </w:p>
    <w:p>
      <w:r>
        <w:rPr>
          <w:b/>
        </w:rPr>
        <w:t>E. 5.1.1</w:t>
      </w:r>
    </w:p>
    <w:p>
      <w:r>
        <w:t>Für die Bonus-Malus-Berechnung wird - wie bereits im die Beschwerdeführerin betreffenden Urteil C-1164/2007 (E. 6.3) dargelegt - der BMS-relevante Aufwand (Heilkosten und Taggelder sowie Rentenkapital; vgl. auch act. 7: Grundlagen und Anwendung von BMS 03 sowie Erläuterung zum Grundlagenblatt, 2008, Ziff. 2) entsprechend der Aussagekraft der Betriebsdaten berücksichtigt. Als Aussagekraft der Daten des Betriebes bzw. als "Kredibilität" wird das Mass bezeichnet, mit dem die Abweichung des Risikosatzes des Betriebes von dem der Branche berücksichtigt wird. Die Werte liegen zwischen Null und Eins: Je grösser die Basisprämie, desto grösser ist die Kredibilität (Erläuterung Grundlagenblatt, Ziff. 3). Die Kredibilitäten der Abweichungen zwischen den BMS-Risikosätzen des Betriebes und der Branche (des Unterklassenteils) werden für die Klasse 41A nach folgenden Formeln berechnet. Für Heilkosten und Taggeld: (Basisprämie 2001 bis 2006) (Basisprämie 2001 bis 2006 + Fr. 90'000) = Kredibilität HK + TG; für das Rentenkapital: (Basisprämie 2001 bis 2006) (Basisprämie 2001 bis 2006 + Fr. 1.8 Mio.) = Kredibilität RK (siehe Rahmenbedingungen Klasse 41A). Im Fall der Beschwerdeführerin - als Kleinbetrieb mit einer relativ geringen Lohnsumme - beträgt die Kredibilität HK + TG 0.373, die Kredibilität RK 0.082 (Grundlagenblatt 2008, Ziff. 3.3 und 3.4).</w:t>
      </w:r>
    </w:p>
    <w:p>
      <w:r>
        <w:rPr>
          <w:b/>
        </w:rPr>
        <w:t>E. 5.1.2</w:t>
      </w:r>
    </w:p>
    <w:p>
      <w:r>
        <w:t>Der Bedarfssatz des Betriebes wurde gestützt auf folgende Grundlagen ermittelt:</w:t>
      </w:r>
    </w:p>
    <w:p>
      <w:r>
        <w:rPr>
          <w:b/>
        </w:rPr>
        <w:t>E. 5.1.2.1</w:t>
      </w:r>
    </w:p>
    <w:p>
      <w:r>
        <w:t>Die Beschwerdeführerin verzeichnet für die massgebenden Jahre 2001-2006 einen BMS-relevanten Aufwand für Heilkosten und Taggelder - inklusive Rückstellungen - von Fr. 11'609 (Grundlagenblatt 2008, Ziff. 2). Der Risikosatz des Betriebes in diesem Bereich (Verhältnis der Kosten zur Lohnsumme) beträgt 0.8847%, derjenige der Branche 1.4303% (zur Berechnung der Risikosätze siehe Erläuterung Grundlagenblatt, Ziff. 3). Diese Differenz von - 0.5456% wird mit dem Faktor Kredibilität von 0.373 und dem Verhältnis zwischen Basissatz und Risikosatz (4.08% 3.8564% = 1.0579%) multipliziert. Daraus ergibt sich ein Abzug vom Basissatz von 0.2153% (vgl. Grundlagenblatt 2008, Ziff. 3.3, Rahmenbedingungen Klasse 41A).</w:t>
      </w:r>
    </w:p>
    <w:p>
      <w:r>
        <w:rPr>
          <w:b/>
        </w:rPr>
        <w:t>E. 5.1.2.2</w:t>
      </w:r>
    </w:p>
    <w:p>
      <w:r>
        <w:t>Beim Rentenkapital beträgt der BMS-relevante Aufwand in der gleichen Periode (von 2001-2006) Fr. 7'352 (Grundlagenblatt 2008, Ziff. 2). Dies ergibt einen betrieblichen Risikosatz von 0.5603%, während derjenige der Branche bei 1.4432% liegt. Die Multiplikation der Differenz von - 0.8829% mit der Kredibilität von 0.082 und dem Verhältnis von Basissatz und Risikosatz (1.0579%) ergibt einen Abzug vom Basissatz von 0.0766% (Grundlagenblatt 2008, Ziff. 3.4; siehe auch Erläuterung Grundlagenblatt, Rahmenbedingungen Klasse 41A).</w:t>
      </w:r>
    </w:p>
    <w:p>
      <w:r>
        <w:rPr>
          <w:b/>
        </w:rPr>
        <w:t>E. 5.1.2.3</w:t>
      </w:r>
    </w:p>
    <w:p>
      <w:r>
        <w:t>Die Summe der kredibilisierten Zu- und Abschläge und des Basissatzes ergibt den Bedarfssatz des Betriebes. Grundsätzlich wird derjenige Nettoprämiensatz verfügt, welcher dem Bedarfssatz am nächsten liegt (Erläuterung Grundlagenblatt, Ziff. 4.2), wobei die maximale Veränderung des Prämiensatzes in der Klasse 41A, Unterklassenteil A0 (bzw. in den Stufen 101 bis 150) im Vergleich zum Vorjahr aber auf drei Stufen beschränkt ist (vgl. Broschüre Prämientarif der Suva, Einreihungsregeln zur Prämienbemessung in der obligatorischen Unfallversicherung, 2008, S. 20, Art. 45 Abs. 4; siehe auch Broschüre Prämienbemessung Berufs- und Nichtberufsunfallversicherung, 2011, S. 9). Im Fall der Beschwerdeführerin ergibt die Berechnung einen Bedarfssatz von 3.7881% (Grundlagenblatt 2008, Ziff. 3.5). Der diesem Satz am nächsten liegende Nettoprämiensatz des BUV-Grundtarifs wäre derjenige der Stufe 108 mit 3.7%. Wie die Vorinstanz im Einspracheentscheid und der Vernehmlassung ausführte, sollen die Prämiensätze aber schrittweise an den neuen Bedarfssatz herangeführt werden. Die jährliche Erhöhung dürfe in der Klasse 41A daher nur maximal drei Tarifstufen bzw. 16% betragen. Dementsprechend wurde der Betrieb der Beschwerdeführerin per 1. Januar 2007 in die Stufe 103 mit einem Nettoprämiensatz von 2.9% eingereiht, was im Vergleich zum Nettoprämiensatz von 2.53% im Vorjahr einer Erhöhung von 14.62% entspricht. Die sodann per 1. Januar 2008 vorgenommene Einreihung der Beschwerdeführerin in die Stufe 106 mit einem Nettoprämiensatz von 3.36% führte im Vergleich zum Vorjahr zu einer Erhöhung von 15.86%.</w:t>
      </w:r>
    </w:p>
    <w:p>
      <w:r>
        <w:rPr>
          <w:b/>
        </w:rPr>
        <w:t>E. 5.2</w:t>
      </w:r>
    </w:p>
    <w:p>
      <w:r>
        <w:t>Die Beschwerdeführerin rügt - wie bereits im Beschwerdeverfahren C-1164/2007 - die mangelnde Berücksichtigung des positiven Schaden­verlaufs ihres Betriebes und eine Schlechterstellung der kleinen Betriebe durch die Anwendung des BMS 03. Diese Rügen wurden bereits im rechtskräftigen Urteil des Bundesverwaltungsgerichts C-1164/2007 (E. 5 f., insbesondere E. 6.4 6.6) ausführlich behandelt und als unbegründet erachtet, weshalb vorliegend auf die entsprechenden Erwägungen zu verweisen ist. An den im genannten Urteil gemachten Ausführungen ändert die Tatsache nichts, dass die Beschwerdeführerin auch in der hier massgebenden Bemessungsperiode (2001-2006) einen günstigen Schadenverlauf vorweisen kann. Denn wie im Urteil C-1164/2007 dargelegt (siehe dort auch E. 6.3.1), ist die Anzahl Unfälle im BMS 03 grundsätzlich kein Bemessungsfaktor mehr. Die im BMS 03 neu eingeführte Kredibilisierung der Risikofaktoren erlaubt zwar noch immer eine Berücksichtigung der individuellen Erfahrungen. So weist die Beschwerdeführerin aufgrund ihrer geringen Unfallkosten für das Jahr 2008 denn auch einen Bonus von total 0.2919% auf und ihr Bedarfssatz hat sich von 4.0054% im Vorjahr auf 3.7881% im 2008 vermindert (act. 1.5, 8.5 S. 3). Dass der Bonus (oder Malus) im BMS 03 für einen Kleinbetrieb (wie denjenigen der Beschwerdeführerin) aber in der Regel geringer ausfällt, gilt indessen nicht als rechtsungleiche Behandlung gegenüber Grossbetrieben, weil die Unterscheidung in der von der Betriebsgrösse abhängigen Aussagekraft der individuellen Risikofaktoren begründet ist (siehe Urteil des Bundesverwaltungsgerichts C-1164/2007 E. 6.5.3).</w:t>
      </w:r>
    </w:p>
    <w:p>
      <w:r>
        <w:rPr>
          <w:b/>
        </w:rPr>
        <w:t>E. 5.3</w:t>
      </w:r>
    </w:p>
    <w:p>
      <w:r>
        <w:t>Die Beschwerdeführerin macht zudem sinngemäss geltend, eine Erhöhung des Prämiensatzes um 32.8% von 2006 bis 2008 sei unverhältnismässig.</w:t>
      </w:r>
    </w:p>
    <w:p>
      <w:r>
        <w:rPr>
          <w:b/>
        </w:rPr>
        <w:t>E. 5.3.1</w:t>
      </w:r>
    </w:p>
    <w:p>
      <w:r>
        <w:t>Die Rechtsprechung zur Verhältnismässigkeit einer Prämienerhöhung bezieht sich auf die Zulässigkeit einer jährlichen Erhöhung. Danach kann eine einzelne Prämienerhöhung von 20% jedenfalls noch nicht als unverhältnismässig bezeichnet werden (Urteil des Bundesverwaltungsgerichts C-2341/2007 vom 16. Juni 2008 E. 5.4.1 mit Hinweis auf RKUV 2004 Nr. U 525 S. 549 E. 6 sowie Urteil der Rekurskommission vom 13. Dezember 2004, publiziert in VPB 69.73, E. 12). Geht es um eine Prämienerhöhung aufgrund einer Tarifänderung, kann jedoch auch eine etwas höhere Prämienänderung akzeptabel sein (Urteil des Bundesverwaltungsgerichts C-2341/2007 E. 5.4.1 mit Hinweis auf Urteil der Rekurskommission 654/06 E. 13c).</w:t>
      </w:r>
    </w:p>
    <w:p>
      <w:r>
        <w:rPr>
          <w:b/>
        </w:rPr>
        <w:t>E. 5.3.2</w:t>
      </w:r>
    </w:p>
    <w:p>
      <w:r>
        <w:t>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03 der Aussagekraft der Zahlen eines Betriebes (Kredibilität) gegenüber dem BMS 95 mehr Gewicht zugemessen wird, werden solche zufallsabhängige Schwankungen der Prämiensätze vermindert, was die Rechtsprechung auch als wesentlichen Vorteil des BMS 03 gegenüber dem BMS 95 bezeichnet hat (Urteil des Bundesverwaltungsgerichts C-2341/2007 E. 5.4.2 mit Hinweis auf Urteil der Rekurskommission vom 13. Dezember 2004, publiziert in VPB 69.73, E. 7; Urteil des Bundesverwaltungsgerichts C-3189/2006 E. 8.4 und E. 8.5.1). Ausdruck des Verhältnismässigkeitsprinzips ist indessen, dass die Prämien für Betriebe, die nach dem BMS 95 von einem sehr hohen Bonus profitieren konnten und mit dem Wechsel zum BMS 03 einen viel höheren Bedarfssatz ausweisen, nicht unmittelbar mit der Einführung des BMS 03 auf den neuen Bedarfssatz angehoben wurden. Vielmehr wurde die jährliche Erhöhung in der Klasse 41A auf drei Stufen bzw. 16% beschränkt. Dies bedeutet, dass die Prämien schrittweise, über zwei oder mehr Jahre verteilt, zu erhöhen sind, wenn die Anpassung an den Bedarfssatz nicht in einem einzigen Schritt erfolgen kann. Der Vollständigkeit halber sei die Beschwerdeführerin auch darauf hingewiesen, dass selbst eine Prämie über dem Basissatz nicht alleine aus diesem Grund schon unverhältnismässig wäre (Urteil des Bundesverwaltungsgerichts C-2341/2007 E. 5.4.2).</w:t>
      </w:r>
    </w:p>
    <w:p>
      <w:r>
        <w:rPr>
          <w:b/>
        </w:rPr>
        <w:t>E. 5.3.3</w:t>
      </w:r>
    </w:p>
    <w:p>
      <w:r>
        <w:t>Vorliegend wurde der Nettoprämiensatz von 2.9% (Stufe 103) im Jahr 2007 per 1. Januar 2008 auf 3.36% (Stufe 106) angehoben. Massgebend ist diese einzelne Prämienerhöhung, mit welcher der Bedarfssatz des Betriebes von 3.7881% noch nicht erreicht ist. Die jährliche Erhöhung beträgt hier somit 15.68% und kann im Lichte der vorstehend zitierten Rechtsprechung - entgegen der Ansicht der Beschwerdeführerin - nicht als unverhältnismässig oder willkürlich bezeichnet werden. Es bleibt zu erwähnen, dass die Beschwerdeführerin nach der Neueinreihung in den Prämientarif 2008 immer noch vier Stufen unter der für ihre Branche massgebenden Stufe (110) eingereiht ist und ein im Vergleich zu gleichartigen Betrieben zu tiefer Prämiensatz grundsätzlich im Widerspruch steht zum Prinzip der Risikogerechtigkeit bzw. dem Gleichbehandlungsgebot, weshalb innert nützlicher Frist eine schrittweise Anpassung an den risikogerechten Prämiensatz zu erfolgen hat (vgl. auch Urteil des Bundesverwaltungsgerichts C-919/2008 vom 24. März 2010 E. 6.5.2). Die Erhöhung des BUV-Prämiensatzes auf 3.36% ist daher rechtens.</w:t>
      </w:r>
    </w:p>
    <w:p>
      <w:r>
        <w:rPr>
          <w:b/>
        </w:rPr>
        <w:t>E. 5.4</w:t>
      </w:r>
    </w:p>
    <w:p>
      <w:r>
        <w:t>Zusammenfassend erweisen sich die von der Beschwerdeführerin vorgebrachten Rügen betreffend die Einreihung ihres Betriebes im Prämientarif BUV 2008 als unbegründet. Die Beschwerde ist daher abzuweisen, soweit darauf einzutreten ist, und der Einspracheentscheid vom 17. Dezember 2008 ist zu bestätigen.</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Bei Streitigkeiten mit Vermögensinteresse beträgt die Gerichtsgebühr bei einem Streitwert bis Fr. 10'000.- zwischen Fr. 200.- und 5'000.- (Art. 4 VGKE). Die Verfahrenskosten sind vorliegend auf Fr. 800.- festzulegen. Sie werden mit dem geleisteten Kostenvorschuss von Fr. 800.- verrechnet.</w:t>
      </w:r>
    </w:p>
    <w:p>
      <w:r>
        <w:rPr>
          <w:b/>
        </w:rPr>
        <w:t>E. 6.2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