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C-3196/2008 vom 25. Juni 2009</w:t>
      </w:r>
    </w:p>
    <w:p>
      <w:r>
        <w:t>Bundesverwaltungsgericht, 2009-06-25, DE</w:t>
      </w:r>
    </w:p>
    <w:p>
      <w:r>
        <w:rPr>
          <w:b/>
        </w:rPr>
        <w:t xml:space="preserve">Quelle: </w:t>
      </w:r>
      <w:r>
        <w:t>https://mcp.opencaselaw.ch/entscheid/bvger_C-3196_2008</w:t>
      </w:r>
    </w:p>
    <w:p>
      <w:r>
        <w:t>FR: TAF C-3196/2008 du 25 juin 2009</w:t>
      </w:r>
    </w:p>
    <w:p>
      <w:r>
        <w:t>IT: TAF C-3196/2008 del 25 giugno 2009</w:t>
      </w:r>
    </w:p>
    <w:p>
      <w:pPr>
        <w:pStyle w:val="Heading2"/>
      </w:pPr>
      <w:r>
        <w:t>Regeste</w:t>
      </w:r>
    </w:p>
    <w:p>
      <w:r>
        <w:t>Rente</w:t>
      </w:r>
    </w:p>
    <w:p>
      <w:pPr>
        <w:pStyle w:val="Heading2"/>
      </w:pPr>
      <w:r>
        <w:t>Erwägungen</w:t>
      </w:r>
    </w:p>
    <w:p>
      <w:r>
        <w:rPr>
          <w:b/>
        </w:rPr>
        <w:t>E. 1.1</w:t>
      </w:r>
    </w:p>
    <w:p>
      <w:r>
        <w:t>Gemäss Art. 31 des Bundesgesetzes vom 17. Juni 2005 über das Bundesverwaltungsgericht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darauf einzutreten.</w:t>
      </w:r>
    </w:p>
    <w:p>
      <w:r>
        <w:rPr>
          <w:b/>
        </w:rPr>
        <w:t>E. 2</w:t>
      </w:r>
    </w:p>
    <w:p>
      <w:r>
        <w:t>Der Beschwerdeführer ist Staatsangehöriger eines Mitgliedsstaates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welches die verschiedenen bis dahin geltenden bilateralen Abkommen zwischen der Schweizerischen Eidgenossenschaft und den einzelnen Mitgliedsstaaten der Europäischen Gemeinschaft insoweit absetzt, als darin derselbe Sachbereich geregelt wird, anzuwenden ist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damaligen Eidgenössischen Versicherungsgerichts [EVG; heute Bundesgericht] H 13/05 vom 4. April 2005, E. 1.1). Daraus folgt, dass die Verwaltung und im Beschwerdefall das Gericht den Leistungsanspruch des Beschwerdeführers gemäss Art. 3 Abs. 1 der Koordinierungsverordnung (EWG) Nr. 1408/71 grundsätzlich nach den für schweizerische Staatsangehörige geltenden Regeln zu beurteilen haben. Demnach bestimmt sich vorliegend der Anspruch des Beschwerdeführers auf eine Rente der Alters- und Hinterlassenenversicherung nach dem internen schweizerischen Recht.</w:t>
      </w:r>
    </w:p>
    <w:p>
      <w:r>
        <w:rPr>
          <w:b/>
        </w:rPr>
        <w:t>E. 3</w:t>
      </w:r>
    </w:p>
    <w:p>
      <w:r>
        <w:t>Vorliegend ist strittig und vom Bundesverwaltungsgericht zu prüfen, ob die SAK die Rente des Beschwerdeführers korrekt ermittelt hat.</w:t>
      </w:r>
    </w:p>
    <w:p>
      <w:r>
        <w:rPr>
          <w:b/>
        </w:rPr>
        <w:t>E. 3.1.1</w:t>
      </w:r>
    </w:p>
    <w:p>
      <w:r>
        <w:t>Die ordentlichen Renten werden nach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Vollendung des 20. Altersjahres und dem 31. Dezember vor Eintritt des Rentenalters gleich viele Beitragsjahre aufweist wie ihr Jahrgang (Art. 29bis Abs. 1 AHVG in Verbindung mit Art. 29ter Abs. 1 AHVG).</w:t>
      </w:r>
    </w:p>
    <w:p>
      <w:r>
        <w:rPr>
          <w:b/>
        </w:rPr>
        <w:t>E. 3.1.2</w:t>
      </w:r>
    </w:p>
    <w:p>
      <w:r>
        <w:t>Für jeden Beitragspflichtigen werden individuelle Konten geführt, in welche die für die Berechnung der ordentlichen Renten erforderlichen Angaben eingetragen werden. Der Bundesrat regelt die Einzelheiten (Art. 30ter Abs. 1 AHVG). Für die Jahre 1948 bis 1968 wurden nur die Kalenderjahre der Beitragsleistung in die individuellen Konten eingetragen, so dass die Beitragsdauer in Monaten daraus nicht hervorgeht. Deshalb ist gemäss bundesgerichtlicher Rechtsprechung in Fällen, in denen Belege mit näheren Angaben über die Beitragsdauer für die Jahre 1948 bis 1968 (z.B. Wohnsitzbescheinigungen, Arbeitszeugnisse, zusätzliche Angaben der kontenführenden Ausgleichskasse) fehlen, auf die eigens zur Ermittlung der mutmasslichen Beitragsdauer publizierten Tabellen des Bundesamtes für Sozialversicherungen abzustellen (BGE 107 V 16 E. 3b).</w:t>
      </w:r>
    </w:p>
    <w:p>
      <w:r>
        <w:rPr>
          <w:b/>
        </w:rPr>
        <w:t>E. 3.1.3</w:t>
      </w:r>
    </w:p>
    <w:p>
      <w:r>
        <w:t>Der Versicherte hat das Recht, bei jeder Ausgleichskasse, die für ihn ein individuelles Konto führt, einen Auszug über die darin gemachten Eintragungen unter Angabe allfälliger Arbeitgeber zu verlangen (Art. 141 Abs. 1 der Verordnung vom 31. Oktober 1947 über die Alters- und Hinterlassenenversicherung [AHVV, SR 831.101]).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 3b und 3d).</w:t>
      </w:r>
    </w:p>
    <w:p>
      <w:r>
        <w:rPr>
          <w:b/>
        </w:rPr>
        <w:t>E. 3.1.4</w:t>
      </w:r>
    </w:p>
    <w:p>
      <w:r>
        <w:t>Gemäss Art. 29quater AHVG werden die Renten nach Massgabe des durchschnittlichen Jahreseinkommens berechnet. Dieses wird ermittelt, indem die Summe der Erwerbseinkommen, von denen die versicherte Person Beiträge geleistet hat, durch die Zahl der Beitragsjahre geteilt wird.</w:t>
      </w:r>
    </w:p>
    <w:p>
      <w:r>
        <w:rPr>
          <w:b/>
        </w:rPr>
        <w:t>E. 3.1.5</w:t>
      </w:r>
    </w:p>
    <w:p>
      <w:r>
        <w:t>Bei der Berechnung der Altersrenten von verwitweten und geschiedenen Personen, die vor dem 1. Januar 1953 geboren sind, wird eine Übergangsgutschrift berücksichtigt, wenn ihnen nicht während mindestens 16 Jahren Erziehungs- oder Betreuungsgutschriften angerechnet werden konnten (Schlussbestimmungen der Änderung vom 7. Oktober 1994 [10. AHV-Revision]).</w:t>
      </w:r>
    </w:p>
    <w:p>
      <w:r>
        <w:rPr>
          <w:b/>
        </w:rPr>
        <w:t>E. 3.2</w:t>
      </w:r>
    </w:p>
    <w:p>
      <w:r>
        <w:t>Bei der Entstehung des Anspruchs auf eine Altersrente hat vorliegend die Beitragsdauer des Jahrgangs des Beschwerdeführers (1943) 44 Jahre betragen (Rententabellen 2007, S. 7). Gemäss den Einträgen in seinen individuellen Konten hat der Beschwerdeführer in den Jahren 1961 bis 1966 Beiträge an die AHV entrichtet. Gestützt auf diese Einträge und unter Berücksichtigung der sich aus den eingereichten Arbeitszeugnissen ergebenden Beitragszeiten ist die SAK zu Recht von einer Beitragsdauer von 56 Monaten ausgegangen. Unvollständige Monate wurden zu Gunsten des Beschwerdeführer praxisgemäss aufgerundet. Es war daher nicht notwendig, die Tabellen zur Ermittlung der mutmasslichen Beitragsdauer beizuziehen. Dies bestreitet der Beschwerdeführer denn auch nicht. Ferner ergeben sich aus den Akten keine Hinweise für das Vorliegen weiterer Beitragszeiten. Aus der offensichtlich falschen Information in Bezug auf die Beitragszeiten, die die SAK im Jahr 1995 der Bundesversicherungsanstalt für Angestellte erteilt hat (vgl. act. 83), kann der Beschwerdeführer keine Ansprüche ableiten, zumal die SAK bei der provisorischen Rentenvorausberechnung auch schon von einer Beitragszeit von 56 Monaten ausgegangen ist (vgl. act. 30 ff.). Die anwendbare Rentenskala, welche sich nach den vollen Beitragsjahren bemisst, ist daher - wie von der SAK zutreffend festgestellt - Rentenskala 4 (Rententabellen 2007, S. 10). Zu Gunsten des Beschwerdeführers sind in den individuellen Konten Einkommen in der Höhe von insgesamt Fr. 49'825.-- registriert. Die diesbezügliche Feststellung der SAK ist nicht zu beanstanden. Der Beschwerdeführer bestreitet dies daher zu Recht nicht. Dieses Gesamteinkommen ist zwecks Ausgleichung der Inflation entsprechend dem Rentenindex gemäss Art. 33ter AHVG aufzuwerten (Art. 30 Abs. 1 AHVG). Der Aufwertungsfaktor beträgt vorliegend 1,378 (Rententabellen 2007, S. 15, erster Eintrag im individuellen Konto), so dass sich das aufgewertete Einkommen auf Fr. 68'659.-- beläuft. Geteilt durch die Anzahl der festgestellten Beitragsmonate und multipliziert mit zwölf ergibt dies ein durchschnittliches Jahreseinkommen von Fr. 14'713.--. Dieser Betrag ist auf den nächsthöheren Tabellenwert des massgebenden durchschnittlichen Jahreseinkommen aufzurunden. Gemäss den Rententabellen 2007 (Skala 4, S. 98) ergibt ein massgebendes Einkommen von bis zu Fr. 15'912.-- eine monatliche Rente von Fr. 106.--. Da der Beschwerdeführer im Zeitpunkt des Eintritts des Rentenfalls verheiratet war, hat ihm die SAK zu Recht keine Übergangsgutschrift angerechnet.</w:t>
      </w:r>
    </w:p>
    <w:p>
      <w:r>
        <w:rPr>
          <w:b/>
        </w:rPr>
        <w:t>E. 3.3</w:t>
      </w:r>
    </w:p>
    <w:p>
      <w:r>
        <w:t>Zusammenfassend ist somit festzuhalten, dass die SAK die Altersrente des Beschwerdeführers korrekt ermittelt hat und die Beschwerde somit im einzelrichterlichen Verfahren gemäss Art. 23 Abs. 2 VGG in Verbindung mit Art. 85bis Abs. 3 AHVG abzuweisen ist.</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