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C-3192/2021 vom 23. Juni 2021</w:t>
      </w:r>
    </w:p>
    <w:p>
      <w:r>
        <w:t>Bundesverwaltungsgericht, 2021-06-23, DE</w:t>
      </w:r>
    </w:p>
    <w:p>
      <w:r>
        <w:rPr>
          <w:b/>
        </w:rPr>
        <w:t xml:space="preserve">Quelle: </w:t>
      </w:r>
      <w:r>
        <w:t>https://mcp.opencaselaw.ch/entscheid/bvger_C-3192_2021_d20210623</w:t>
      </w:r>
    </w:p>
    <w:p>
      <w:r>
        <w:t>FR: TAF C-3192/2021 du 23 juin 2021</w:t>
      </w:r>
    </w:p>
    <w:p>
      <w:r>
        <w:t>IT: TAF C-3192/2021 del 23 giugno 2021</w:t>
      </w:r>
    </w:p>
    <w:p>
      <w:pPr>
        <w:pStyle w:val="Heading2"/>
      </w:pPr>
      <w:r>
        <w:t>Regeste</w:t>
      </w:r>
    </w:p>
    <w:p>
      <w:r>
        <w:t>Rente | Alters- und Hinterlassenenversicherung, Rentenanspruch (Einspracheentscheid vom 23. Juni 2021)</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ATSG; Art. 50 Abs. 1 und Art. 52 Abs. 1 VwVG) eingereicht wurde, ist darauf grundsätzlich einzutreten.</w:t>
      </w:r>
    </w:p>
    <w:p>
      <w:r>
        <w:t>C-3192/2021 Seite 5</w:t>
      </w:r>
    </w:p>
    <w:p>
      <w:r>
        <w:rPr>
          <w:b/>
        </w:rPr>
        <w:t>E. 2</w:t>
      </w:r>
    </w:p>
    <w:p>
      <w:r>
        <w:t>Die Vorinstanz ging davon aus, der Beschwerdeführer habe mit der Replik seine Beschwerde sinngemäss zurückgezogen, und beantragte daher duplikweise, die Beschwerde sei als gegenstandslos abzuschreiben. Zieht die beschwerdeführende Partei ihr Rechtsmittel vollumfänglich zurück, so wird der Rechtsstreit damit gegenstandslos. Der Beschwerderückzug muss klar, ausdrücklich und bedingungslos erfolgen (vgl. MO- SER/BEUSCH/KNEUBÜHLER/KAYSER, Prozessieren vor dem Bundesverwal- tungsgericht, 3. Auflage 2022, Rz. 3.212). Bei der Aussage des Beschwer- deführers in der Replik, wonach er verstehe, dass er die Voraussetzungen für eine ordentlichen Altersrente nicht erfülle, handelt es sich indes nicht um einen klaren und ausdrücklichen Beschwerderückzug. Zudem stellte der Beschwerdeführer gleichzeitig einen neuen Antrag, womit auch die Vo- raussetzung der Bedingungslosigkeit nicht erfüllt ist. Folglich kann kein Rückzug der Beschwerde angenommen werden und die Angelegenheit ist im Folgenden materiell zu behandeln.</w:t>
      </w:r>
    </w:p>
    <w:p>
      <w:r>
        <w:rPr>
          <w:b/>
        </w:rPr>
        <w:t>E. 3</w:t>
      </w:r>
    </w:p>
    <w:p>
      <w:r>
        <w:t>Anfechtungsobjekt und damit Begrenzung des Streitgegenstandes des vorliegenden Beschwerdeverfahrens (vgl. BGE 131 V 164 E. 2.1) bildet der Einspracheentscheid der Vorinstanz vom 23. Juni 2021, mit welchem die Einsprache der Beschwerdeführerin vom 16. März 2021 gegen die Verfü- gung vom 1. März 2021 abgewiesen wurde. Zu prüfen ist somit nachfol- gend, ob die Vorinstanz das Gesuch des Beschwerdeführers um eine AHV- Altersrente zu Recht abgelehnt hat.</w:t>
      </w:r>
    </w:p>
    <w:p>
      <w:r>
        <w:rPr>
          <w:b/>
        </w:rPr>
        <w:t>E. 4.1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Der Beschwerdeführer hat am (…) 2021 das für die Entstehung des Anspruchs auf eine Altersrente erforderliche Alter für Männer von 65 Jahren erreicht (vgl. Art. 21 Abs. 1 Bst. a AHVG). Massgebend sind somit grundsätzlich diejenigen Normen, welche zu diesem Zeitpunkt in Kraft standen (vgl. BGE 140 V 154 E. 7.1; 130 V 156 E. 5.2; 117 V 121).</w:t>
      </w:r>
    </w:p>
    <w:p>
      <w:r>
        <w:rPr>
          <w:b/>
        </w:rPr>
        <w:t>E. 4.2</w:t>
      </w:r>
    </w:p>
    <w:p>
      <w:r>
        <w:t>Der Beschwerdeführer ist kroatischer Staatsangehöriger, wohnt in Ös- terreich und war in der schweizerischen AHV/IV versichert. Es liegt somit offensichtlich ein grenzüberschreitender Sachverhalt mit Bezug zur EU vor</w:t>
      </w:r>
    </w:p>
    <w:p>
      <w:r>
        <w:t>C-3192/2021 Seite 6 (vgl. dazu BGE 145 V 231 E. 7.1; 143 V 81 E. 8.3).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 gen gemeinschafts- bzw. abkommensrechtlichen Regelung die Prüfung des Anspruchs auf Leistungen der AHV nach schweizerischem Recht (BGE 141 V 246 E. 2.2; 130 V 51; vgl. Urteil des BVGer C-2706/2011 vom 26. Oktober 2011 E. 2.3).</w:t>
      </w:r>
    </w:p>
    <w:p>
      <w:r>
        <w:rPr>
          <w:b/>
        </w:rPr>
        <w:t>E. 5.1</w:t>
      </w:r>
    </w:p>
    <w:p>
      <w:r>
        <w:t>Männer haben Anspruch auf eine ordentliche Altersrente, sofern sie das 65. Altersjahr vollendet haben und ihnen für mindestens ein volles Jahr Einkommen, Erziehungs- oder Betreuungsgutschriften angerechnet wer- den können (Art. 21 Abs. 1 Bst. a i.V.m. Art. 29 Abs. 1 AHVG). Der Anspruch auf die Altersrente entsteht am ersten Tag des Monats, welcher der Vollen- dung des massgebenden Altersjahres folgt, und erlischt mit dem Tod (Art. 21 Abs. 2 AHVG).</w:t>
      </w:r>
    </w:p>
    <w:p>
      <w:r>
        <w:rPr>
          <w:b/>
        </w:rPr>
        <w:t>E. 5.2</w:t>
      </w:r>
    </w:p>
    <w:p>
      <w:r>
        <w:t>Bei erwerbstätigen Personen werden nur die Einkommen berücksich- tigt, auf denen Beiträge bezahlt wurden (Art. 29quinquies Abs. 1 AHVG). Ge- mäss Art. 6 Abs. 2 Bst. b AHVV stellten Versicherungsleistungen bei Unfall, Krankheit oder Invalidität (ausgenommen die Taggelder nach Art. 25 IVG und nach Art. 29 des Militärversicherungsgesetzes) kein beitragspflichtiges Erwerbseinkommen dar.</w:t>
      </w:r>
    </w:p>
    <w:p>
      <w:r>
        <w:rPr>
          <w:b/>
        </w:rPr>
        <w:t>E. 5.3</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w:t>
      </w:r>
    </w:p>
    <w:p>
      <w:r>
        <w:t>C-3192/2021 Seite 7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 gungen in den IK (BGE 117 V 261 E. 3a). Der geforderte volle Beweis schliesst den Untersuchungsgrundsatz nicht aus. Der Mitwirkungspflicht des Betroffenen kommt jedoch ein erhöhtes Gewicht zu. Im Fall der Be- weislosigkeit fällt der Entscheid zu Ungunsten jener Partei aus, die daraus Rechte ableiten will (BGE 117 V 261 E. 3b-d m.H.).</w:t>
      </w:r>
    </w:p>
    <w:p>
      <w:r>
        <w:rPr>
          <w:b/>
        </w:rPr>
        <w:t>E. 5.4</w:t>
      </w:r>
    </w:p>
    <w:p>
      <w:r>
        <w:t>Gemäss IK-Auszug vom 1. März 2021 war der Beschwerdeführer von April bis Dezember 1991, d.h. während 9 Monaten, bei der B._______ AG in (…) erwerbstätig und leistete dabei AHV/IV-Beiträge. Der Beschwerde- führer hat weder im vorinstanzlichen Verfahren noch im vorliegenden Be- schwerdeverfahren Nachweise für zusätzliche Beitragszeiten vorgelegt. In der Einsprache beantragte er, es seien ihm seine Berufserfahrung sowie Krankheitstage vom 16. November 1991 bis April 1992 anzurechnen. Wie die Vorinstanz im angefochtenen Einspracheentscheid zu Recht ausge- führt hat, stellen allfällig erhaltene Krankentaggelder gemäss Art. 6 Abs. 2 Bst. b AHVV kein beitragspflichtiges Erwerbseinkommen dar und werden entsprechend auch nicht als Beitragszeiten angerechnet. Unklar ist, was der Beschwerdeführer damit meint, es sei ihm seine "Berufserfahrung" an- zurechnen. Sofern er damit sinngemäss die Anrechnung ausländischer Versicherungszeiten geltend macht, so ist dazu Folgendes festzuhalten: Ist der Zeitraum, während dessen eine Person in einem bestimmten Land ver- sichert war, nicht ausreichend, um in diesem Land einen Rentenanspruch zu begründen, so werden Versicherungszeiten, die sie in anderen Ländern zurückgelegt hat, berücksichtigt. Grundsätzlich muss ein Land jedoch nur dann Renten gewähren, wenn eine Person dort mindestens ein Jahr lang versichert war (vgl. Botschaft zur Genehmigung der sektoriellen Abkom- men zwischen der Schweiz und der EG vom 23. Juni 1999, BBl 1999, S. 6324). Dieser Vorbehalt ist auch in Art. 57 Abs. 1 der Verordnung Nr. 883/2004 explizit festgehalten. Da der Beschwerdeführer in der Schweiz nur 9 Monate AHV-versichert war, werden ihm folglich keine ausländischen Versicherungszeiten zur Erfüllung der für einen Rentenanspruch voraus- gesetzten einjährigen Mindestbeitragsdauer angerechnet. Nach dem Gesagten hat die Vorinstanz zu Recht einen Anspruch des Be- schwerdeführers auf eine AHV-Altersrente mangels Erfüllung der Mindest- beitragsdauer von einem vollen Jahr abgelehnt.</w:t>
      </w:r>
    </w:p>
    <w:p>
      <w:r>
        <w:t>C-3192/2021 Seite 8</w:t>
      </w:r>
    </w:p>
    <w:p>
      <w:r>
        <w:rPr>
          <w:b/>
        </w:rPr>
        <w:t>E. 6</w:t>
      </w:r>
    </w:p>
    <w:p>
      <w:r>
        <w:t>Der Beschwerdeführer beantragt in der Replik, dass ihm der Betrag für die angerechneten 9 Monate einmalig ausbezahlt werde. Sinngemäss macht er damit wohl eine Rückvergütung seiner entrichteten AHV-Beiträge gel- tend. Es handelt sich dabei um einen im Beschwerdeverfahren neu gestell- ten Antrag, über den die Vorinstanz nicht verfügt hat.</w:t>
      </w:r>
    </w:p>
    <w:p>
      <w:r>
        <w:rPr>
          <w:b/>
        </w:rPr>
        <w:t>E. 6.1.1</w:t>
      </w:r>
    </w:p>
    <w:p>
      <w:r>
        <w:t>Im Verfahren der Verwaltungsgerichtsbeschwerde sind grundsätzlich nur Rechtsverhältnisse zu beurteilen, zu denen die zuständige Verwal- 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Gegenstände, über welche die Vorinstanz nicht entschieden hat, soll die obere Instanz nicht beurteilen, da sonst in die funktionelle Zuständigkeit der Vorinstanz eingegriffen würde. Aus prozessökonomischen Gründen kann das verwaltungsgericht- liche Verfahren auf eine ausserhalb des Anfechtungsgegenstandes, d.h. ausserhalb des durch die Verfügung bestimmten Rechtsverhältnisses lie- gende spruchreife Frage ausgedehnt werden, wenn diese mit dem bishe- rigen Streitgegenstand derart eng zusammenhängt, dass von einer Tatbe- standsgesamtheit gesprochen werden kann, und wenn sich die Verwaltung zu dieser Streitfrage mindestens in Form einer Prozesserklärung geäussert hat (vgl. Urteil des BGer 1A.254/2014 vom 7. Februar 2005 E. 2.3; Urteil des EVG H 101/99 vom 18. Februar 200 E. 2a, je mit Hinweisen; MO- SER/BEUSCH/KNEUBÜHLER/KAYSER, a.a.O., Rz. 2.208 und 2.210).</w:t>
      </w:r>
    </w:p>
    <w:p>
      <w:r>
        <w:rPr>
          <w:b/>
        </w:rPr>
        <w:t>E. 6.1.2</w:t>
      </w:r>
    </w:p>
    <w:p>
      <w:r>
        <w:t>Vorliegend steht die spruchreife Frage einer allfälligen Rückvergü- tung der entrichteten AHV-Beiträge in derart engem Bezug zu dem streit- gegenständlichen Altersrentenanspruch des Beschwerdeführers, dass von einer Tatbestandsgesamtheit auszugehen ist (so auch Urteil H 101/99 E. 2c mit Hinweis). Zudem hat sich die Vorinstanz in ihrer Duplik zur Frage der Rückerstattung geäussert. Somit sind die rechtsprechungsgemäss er- forderlichen Voraussetzung für eine Ausdehnung des Beschwerdeverfah- rens auf die Frage der Rückvergütung vorliegend gegeben.</w:t>
      </w:r>
    </w:p>
    <w:p>
      <w:r>
        <w:rPr>
          <w:b/>
        </w:rPr>
        <w:t>E. 6.2.1</w:t>
      </w:r>
    </w:p>
    <w:p>
      <w:r>
        <w:t>Art. 18 Abs. 3 AHVG sieht vor, dass Ausländern, die ihren Wohnsitz im Ausland haben und mit deren Heimatstaat keine zwischenstaatliche Vereinbarung besteht, sowie ihren Hinterlassenen die gemäss den Artikeln</w:t>
      </w:r>
    </w:p>
    <w:p>
      <w:r>
        <w:t>C-3192/2021 Seite 9 5, 6, 8, 10 oder 13 bezahlten Beiträge rückvergütet werden können. Der Bundesrat regelt die Einzelheiten, insbesondere das Ausmass der Rück- vergütung.</w:t>
      </w:r>
    </w:p>
    <w:p>
      <w:r>
        <w:rPr>
          <w:b/>
        </w:rPr>
        <w:t>E. 6.2.2</w:t>
      </w:r>
    </w:p>
    <w:p>
      <w:r>
        <w:t>Gemäss Art. 1 Abs. 1 der bundesrätlichen Verordnung vom 29. No- vember 1995 über die Rückvergütung der von Ausländern an die Alters- und Hinterlassenenversicherung bezahlten Beiträge (RV-AHV; SR 831.131.12) können Ausländer, mit deren Heimatstaat keine zwischen- staatliche Vereinbarung besteht, sowie ihre Hinterlassenen die der Alters- und Hinterlassenenversicherung entrichteten Beiträge zurückfordern, so- fern diese gesamthaft während mindestens eines vollen Jahres geleistet worden sind und keinen Rentenanspruch begründen. Massgebend ist die Staatsangehörigkeit im Zeitpunkt der Rückforderung (Abs. 2).</w:t>
      </w:r>
    </w:p>
    <w:p>
      <w:r>
        <w:rPr>
          <w:b/>
        </w:rPr>
        <w:t>E. 6.2.3</w:t>
      </w:r>
    </w:p>
    <w:p>
      <w:r>
        <w:t>Der in Österreich wohnhafte Beschwerdeführer ist Staatsangehöriger von Kroatien und somit eines EU-Mitgliedstaates. Zwischen der Schweiz und den EU-Mitgliedstaaten gelten das FZA und die Regelwerke der Ge- meinschaft zur Koordinierung der Systeme der sozialen Sicherheit gemäss Anhang II des FZA (vgl. oben E. 4.2). Da somit einschlägige zwischenstaat- liche Vereinbarungen bestehen und diese auch keine Beitragsrückerstat- tung vorsehen (für eine abschliessende Liste der Länder, mit denen Ab- kommen bestehen, aufgrund derer ausnahmsweise und unter bestimmten Bedingungen eine Rückvergütung möglich ist, vgl. https://www.zas.ad- min.ch/zas/de/home/particuliers/les-versements-uniques/remboursement- des-cotisations.html, abgerufen am 3. Juli 2023), ist eine Rückvergütung der vom Beschwerdeführer entrichteten AHV-Beiträge gemäss Gesetz nicht möglich (vgl. Art 18 Abs. 3 AHVG e contrario). Im Übrigen ist vorlie- gend auch die weitere materielle Voraussetzung der Mindestbeitragszeit von einem vollen Jahr (vgl. Art. 1 Abs. 1 RV-AHV) nicht erfüllt, womit eine Rückvergütung auch aus diesem Grund ausgeschlossen ist.</w:t>
      </w:r>
    </w:p>
    <w:p>
      <w:r>
        <w:rPr>
          <w:b/>
        </w:rPr>
        <w:t>E. 6.3</w:t>
      </w:r>
    </w:p>
    <w:p>
      <w:r>
        <w:t>Sollte der Beschwerdeführer nicht eine Rückvergütung, sondern – was aufgrund seiner unklaren Formulierung auch denkbar ist – eine einmalige Abfindung (Auszahlung der Rente als Kapitalbezug) beantragt haben, so kann diese Frage im vorliegenden Beschwerdeverfahren nicht beurteilt werden. Denn weder hat die Vorinstanz darüber verfügungsweise befun- den, womit es an einem Anfechtungsgegenstand und somit an einer Sa- churteilsvoraussetzung fehlt, noch hat sie sich im Laufe des Beschwerde- verfahrens dazu geäussert, womit eine Ausdehnung des Beschwerdever- fahrens auf diese Frage nicht in Betracht kommt. Sofern der</w:t>
      </w:r>
    </w:p>
    <w:p>
      <w:r>
        <w:t>C-3192/2021 Seite 10 Beschwerdeführer eine einmalige Abfindung beantragt hat, ist folglich da- rauf nicht einzutreten. Es kann an dieser Stelle jedoch bereits festgehalten werden, dass für eine einmalige Abfindung ein Rentenanspruch bestehen muss – was vorliegend nicht der Fall ist (vgl. oben E. 5) – und überdies muss auch die Möglichkeit einer einmaligen Abfindung in einem Sozialversicherungsabkommen vor- gesehen sein (für eine abschliessende Liste der Länder, mit denen Abkom- men bestehen, die eine einmalige Abfindung vorsehen vgl. https://www.zas.admin.ch/zas/de/home/particuliers/les-versements-uni- ques/indemnites-forfaitaires---versements-capitalises.html, abgerufen am 3. Juli 2023), was auf das im Verhältnis zwischen der Schweiz und den EU- Mitgliedstaaten geltende FZA und die Regelwerke der Gemeinschaft zur Koordinierung der Systeme der sozialen Sicherheit gemäss Anhang II des FZA nicht zutrifft.</w:t>
      </w:r>
    </w:p>
    <w:p>
      <w:r>
        <w:rPr>
          <w:b/>
        </w:rPr>
        <w:t>E. 7</w:t>
      </w:r>
    </w:p>
    <w:p>
      <w:r>
        <w:t>Damit ist die Beschwerde abzuweisen und der Einspracheentscheid vom 23. Juni 2021 vollumfänglich zu bestätigen. Die Beschwerde erweist sich als offensichtlich unbegründet, weshalb sie – soweit darauf einzutreten ist – im einzelrichterlichen Verfahren abzuweisen ist (Art. 23 Abs. 2 VGG i.V. mit Art. 85bis Abs. 3 AHVG).</w:t>
      </w:r>
    </w:p>
    <w:p>
      <w:r>
        <w:rPr>
          <w:b/>
        </w:rPr>
        <w:t>E. 8.1</w:t>
      </w:r>
    </w:p>
    <w:p>
      <w:r>
        <w:t>Das Verfahren ist für die Parteien kostenlos (Art. 85bis Abs. 2 AHVG), weshalb keine Verfahrenskosten zu erheben sind.</w:t>
      </w:r>
    </w:p>
    <w:p>
      <w:r>
        <w:rPr>
          <w:b/>
        </w:rPr>
        <w:t>E. 8.2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C-3192/2021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