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C-3191/2021 vom 18. Juni 2021</w:t>
      </w:r>
    </w:p>
    <w:p>
      <w:r>
        <w:t>Bundesverwaltungsgericht, 2021-06-18, FR</w:t>
      </w:r>
    </w:p>
    <w:p>
      <w:r>
        <w:rPr>
          <w:b/>
        </w:rPr>
        <w:t xml:space="preserve">Quelle: </w:t>
      </w:r>
      <w:r>
        <w:t>https://mcp.opencaselaw.ch/entscheid/bvger_C-3191_2021_d20210618</w:t>
      </w:r>
    </w:p>
    <w:p>
      <w:r>
        <w:t>FR: TAF C-3191/2021 du 18 juin 2021</w:t>
      </w:r>
    </w:p>
    <w:p>
      <w:r>
        <w:t>IT: TAF C-3191/2021 del 18 giugno 2021</w:t>
      </w:r>
    </w:p>
    <w:p>
      <w:pPr>
        <w:pStyle w:val="Heading2"/>
      </w:pPr>
      <w:r>
        <w:t>Regeste</w:t>
      </w:r>
    </w:p>
    <w:p>
      <w:r>
        <w:t>Droit &amp;agrave; la rente | Assurance-invalidité, droit à la rente et à des mesures professionnelles (décision du 18 juin 2021). Le TF a refusé d'entrer en matière sur le recours.</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 invalidité [RAI, RS 831.201]). En l'occurrence, domicilié en France voisine et ayant travaillé en Suisse avant son incapacité de travail (cf. ci-dessus, let. A et B), le recourant doit être qualifié de frontalier, si bien que c'est à bon droit que la procédure d'instruction de la demande de prestations AI a été menée par l'OAI-B._______ et la décision litigieuse notifiée par l'OAIE.</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 arrêt du TF 2C_53/2017 du 21 juillet 2017 consid. 5.1). L'objet du litige peut donc être réduit par rapport à l'objet de la contestation. Il ne peut en revanche, sauf exceptions, s'étendre au-delà de celui-ci (cf. ATF 136 II 457 consid. 4.2 ; 136 II 165 consid. 5). Il convient encore de préciser qu'il sied de distinguer le dispositif d'une décision de la motivation de celle-ci. Le dispositif de la décision règle le rapport juridique comme tel. Il peut avoir pour objet toutes les relations découlant du droit administratif fédéral matériel sur lesquelles l'autorité compétente peut se prononcer unilatéralement par le biais d'une décision. La motivation de la décision, en revanche,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La distinction entre dispositif et motivation de la décision reste un critère décisif pour la détermination de l'objet du litige. Il faut chercher le contenu juridique réel de l'acte administratif même si celui-ci est imprécis, incomplet ou rédigé sous la forme d'une décision en constatation non admissible. De cet examen ressort le rapport juridique sur lequel l'autorité administrative a statué (Ulrich Meyer / Isabel Von Zwehl, L'objet du litige en procédure de droit administratif fédéral, in : Mélanges en l'honneur de Pierre Moor, 2005, p. 440 ss ; cf. notamment : ATF 125 V 413 consid. 2).</w:t>
      </w:r>
    </w:p>
    <w:p>
      <w:r>
        <w:rPr>
          <w:b/>
        </w:rPr>
        <w:t>E. 2.2</w:t>
      </w:r>
    </w:p>
    <w:p>
      <w:r>
        <w:t>Le Tribunal de céans constate que la conclusion du recourant priant le premier de statuer sur une demande de réparation du préjudice financier et personnel dont il estime avoir été victime (cf. ci-dessus, let. C.c) dépasse l'objet du litige. Vu l'intitulé de la décision attaquée ainsi que sa motivation, on comprend que l'autorité inférieure entendait trancher uniquement le droit du recourant à une rente d'invalidité et à des mesures d'ordre professionnel. Quant à la réparation d'un éventuel préjudice subi par l'intéressé, elle n'intègre pas l'objet de la contestation, faute d'avoir été concrètement tranchée dans la décision attaquée.</w:t>
      </w:r>
    </w:p>
    <w:p>
      <w:r>
        <w:rPr>
          <w:b/>
        </w:rPr>
        <w:t>E. 2.3</w:t>
      </w:r>
    </w:p>
    <w:p>
      <w:r>
        <w:t>Partant, la conclusion du recourant portant sur la réparation d'un préjudice subi par celui-ci doit être déclarée irrecevable en tant qu'elle dépasse l'objet du litige en cause. Quoi qu'il en soit, le Tribunal de céans retransmet une copie de la réplique du recourant du 15 novembre 2021 à l'autorité inférieure, qui est à considérer comme une demande en réparation au sens de l'art. 78 LPGA.</w:t>
      </w:r>
    </w:p>
    <w:p>
      <w:r>
        <w:rPr>
          <w:b/>
        </w:rPr>
        <w:t>E. 2.4</w:t>
      </w:r>
    </w:p>
    <w:p>
      <w:r>
        <w:t>Le présent litige porte par conséquent sur le bien-fondé de la décision du 18 juin 2021, par laquelle l'OAIE a rejeté la demande de rente AI et de mesures d'ordre professionnel de l'assuré. En particulier, le recourant ne contestant pas le refus d'une rente d'invalidité, l'objet du litige est réduit au droit du recourant à des mesures d'ordre professionnel.</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w:t>
      </w:r>
    </w:p>
    <w:p>
      <w:r>
        <w:t>C-3191/2021 Page 10</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18 juin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 taquées, en règle générale, d’après l’état de fait existant jusqu’au moment où la décision litigieuse a été rendue (en l’espèce, le 18 juin 2021). Les faits survenus postérieurement, et qui ont modifié cette situation, doivent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en l’espèce pas compte des rapports médi- caux postérieurs au 18 juin 2021 (cf. ci-dessus, let. C.f s.), ces derniers ne portant pas sur l’état de santé du recourant avant la date de la décision dont est recours et n’influencent donc nullement l’appréciation de la cause au 18 juin 2021.</w:t>
      </w:r>
    </w:p>
    <w:p>
      <w:r>
        <w:rPr>
          <w:b/>
        </w:rPr>
        <w:t>E. 4.3</w:t>
      </w:r>
    </w:p>
    <w:p>
      <w:r>
        <w:t>Le recourant étant un ressortissant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w:t>
      </w:r>
    </w:p>
    <w:p>
      <w:r>
        <w:t>C-3191/2021 Page 11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5.1.1 Aux termes de l’art. 8 LAI, les assurés invalides ou menacés d’une invalidité au sens de l’art.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(al. 1). Le droit aux mesures de réadaptation n’est pas lié à l’exercice d’une activité lucrative préalable. Lors de la fixation de ces mesures, il est tenu compte de la durée probable de la vie professionnelle restante (al. 1bis). Les mesures de réadaptation comprennent notamment (al. 3) des mesures de réinsertion préparant à la réadaptation professionnelle (let. abis) et des mesures d’ordre professionnel (orientation professionnelle, formation professionnelle initiale, reclassement, placement, aide en capital) (let. b). 5.1.2 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(al. 2). La jurisprudence définit ainsi le reclassement professionnel comme l'ensemble des mesures de réadaptation de nature professionnelle qui sont nécessaires, appropriées et suffisantes pour procurer à la personne</w:t>
      </w:r>
    </w:p>
    <w:p>
      <w:r>
        <w:t>C-3191/2021 Page 12 assurée une possibilité de gain à peu près équivalente à celle que lui offrait son ancienne activité (ATF 139 V 399 consid. 5.4 et 5.5; 130 V 488 consid. 4.2; TF 9C_244/2010 du 5 août 2010 consid. 3.1). 5.1.3 Selon la jurisprudence, le fait que la personne assurée ne peut plus exercer sa profession antérieure ne suffit pas à lui seul, à fonder un droit à un reclassement. Il faut encore que la personne subisse, en l'absence d'une telle mesure de reclassement, une diminution de sa capacité de gain et présente une invalidité de l'ordre de 20 % au moins dans toute activité raisonnablement exigible (ATF 139 V 399 consid. 5.3, 130 V 488 consid. 4.2, 124 V 108 consid. 2a et b et références ; ULRICH MEYER / MARCO REICHMUTH, Bundesgesetz über die Invalidenversicherung, 3e édition 2014, ad art. 17 n° 3 s. pp. 201 s.) ; la perte de gain, voire le degré d’invalidité, est calculé selon les mêmes principes que ceux appliqués pour déterminer le taux donnant droit à une rente (Pratique VSI 2000 p. 63; RCC 1984 p. 95; cf. consid. 7.2). Plus encore, la personne assurée n'a droit qu'aux mesures nécessaires et suffisantes, propres à atteindre le but de la réadaptation, mais non pas aux mesures qui seraient les meilleures dans son cas (ATF 139 V 399 consid. 5.4; 124 V 108 consid. 2a et références ; Pratique VSI 1/2000 p. 25). A titre d’exemple, la personne assurée n’a notamment pas droit à un reclassement professionnel lorsqu’elle peut poursuivre une activité adaptée sans formation complémentaire (voir RCC 1963, p. 127). 5.1.4 Les mesures de réadaptation sont appliquées en Suisse, elles peuvent l’être exceptionnellement aussi à l’étranger (art. 9 al. 1 LAI). Le droit aux mesures de réadaptation prend naissance au plus tôt au moment de l’assujettissement à l’assurance obligatoire ou facultative (cf. art. 1b LAI en relation avec les art. 1a et 2 de la loi fédérale du 20 décembre 1946 sur l’assurance-vieillesse et survivants [LAVS ; RS 831.10]) et s’éteint au plus tard à la fin de cet assujettissement (art. 9 al. 1bis LAI). En d’autres termes, la condition d’assurance doit être réalisée dès et aussi longtemps que la personne concernée entend bénéficier de mesures de réadaptation. Cette condition découle de la systématique légale et s’applique à toutes les mesures de réadaptation (ATF 145 V 266 consid. 4.2 et 143 V 261 consid. 5.2.1). Selon l’art. 1b LAI, sont assurées conformément à la LAI les personnes qui sont assurées à titre obligatoire ou à titre facultatif en vertu des art. 1a et 2 LAVS. Sous réserve des exemptions prévues à l’art. 1a al. 2 LAVS, sont obligatoirement assurées à l’AVS en particulier les personnes physiques</w:t>
      </w:r>
    </w:p>
    <w:p>
      <w:r>
        <w:t>C-3191/2021 Page 13 domiciliées en Suisse (art. 1a al. 1 let. a LAVS) et les personnes physiques qui exercent en Suisse une activité lucrative (art. 1a al. 1 let. b LAVS). Aux termes de l’Annexe XI, ch. 8 (sous Suisse) du Règlement (CE) n° 883/2004,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De surcroît, cette couverture d’assurance prend également fin si l’intéressé bénéficie de prestations de l’assurance-chômage de son Etat de résidence (ATF 132 V 53 consid. 6.6).</w:t>
      </w:r>
    </w:p>
    <w:p>
      <w:r>
        <w:rPr>
          <w:b/>
        </w:rPr>
        <w:t>E. 6</w:t>
      </w:r>
    </w:p>
    <w:p>
      <w:r>
        <w:t>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 titude d'une allégation, sans que d'autres possibilités ne revêtent une im- portance significative ou n'entrent raisonnablement en considération (ATF 144 V 427 consid. 3.2 ; 139 V 176 consid. 5.3 ; 138 V 218 consid. 6). Par- 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7.1</w:t>
      </w:r>
    </w:p>
    <w:p>
      <w:r>
        <w:t>En l’espèce, le recourant sollicite des mesures de réadaptation au sens de l’art. 8 al. 3 LAI, en particulier un reclassement professionnel.</w:t>
      </w:r>
    </w:p>
    <w:p>
      <w:r>
        <w:rPr>
          <w:b/>
        </w:rPr>
        <w:t>E. 7.2</w:t>
      </w:r>
    </w:p>
    <w:p>
      <w:r>
        <w:t>Il ressort des pièces du dossier que le recourant s’est inscrit à l’assu- rance-chômage en France (Pôle emploi) en date du 26 mars 2021 (AI pce</w:t>
      </w:r>
    </w:p>
    <w:p>
      <w:r>
        <w:t>C-3191/2021 Page 14 32). Toutefois, le Tribunal de céans ignore si le recourant perçoit ou a perçu des prestations de l’assurance-chômage de son Etat de résidence, auquel cas l’intéressé ne pourrait pas bénéficier de mesures de réadaptation selon l’art. 8 al. 3 LAI (cf. ci-dessus, consid. 5.1.4). Cette question souffre toute- fois de demeurer indécise, le recours devant être rejeté pour les motifs qui suivent.</w:t>
      </w:r>
    </w:p>
    <w:p>
      <w:r>
        <w:rPr>
          <w:b/>
        </w:rPr>
        <w:t>E. 7.3</w:t>
      </w:r>
    </w:p>
    <w:p>
      <w:r>
        <w:t>L’exigibilité de l’exercice d’une activité lucrative adaptée à 100 % à compter du 27 novembre 2020, constatée par le médecin du SMR (cf. ci- dessus, let. B.h), repose sur un dossier médical complet ne permettant pas de remettre en cause les conclusions du Dr H._______ (cf. ATF 142 V 58 consid. 5.1), étant rappelé que ce dernier se fonde sur l’avis médical du médecin traitant du recourant pour justifier son appréciation. En somme, aucune des pièces médicales présentes au dossier ne permet d’émettre des doutes au sujet d’une pleine capacité de travail dans une activité n’im- pliquant pas le port de charges lourdes de manière répétitive, ni sollicitation lombaire répétée et en porte-à-faux, étant précisé que le recourant ne con- teste pas ladite exigibilité. Aussi, s’il est certes vrai que l’intéressé présente des pathologies l’empêchant d’exercer sa dernière activité de déménageur, il n’en demeure pas moins qu’il peut mettre à profit sa capacité résiduelle de travail dans une activité plus légère et ce sans diminution de rendement.</w:t>
      </w:r>
    </w:p>
    <w:p>
      <w:r>
        <w:rPr>
          <w:b/>
        </w:rPr>
        <w:t>E. 7.4</w:t>
      </w:r>
    </w:p>
    <w:p>
      <w:r>
        <w:t>Dans sa comparaison des revenus – figurant dans la décision litigieuse – l’autorité inférieure retient un salaire d’invalide supérieur à celui que le recourant pourrait toucher sans atteinte à la santé. La perte de gain en résultant est par conséquent nulle (cf. aussi AI pce 36 « détermination du degré d’invalidité »). Le Tribunal n’identifie pas d’éléments du calcul qui l’inciteraient à procéder à un examen approfondi de celui-ci, lequel est dès lors correct (cf. ci-dessus, consid. 3, dernière phrase), étant précisé que ladite comparaison des revenus n’a pas été contestée par le recourant.</w:t>
      </w:r>
    </w:p>
    <w:p>
      <w:r>
        <w:rPr>
          <w:b/>
        </w:rPr>
        <w:t>E. 7.5</w:t>
      </w:r>
    </w:p>
    <w:p>
      <w:r>
        <w:t>Comme indiqué précédemment, le droit à des mesures de réadaptation énumérées à l’art. 8 al. 3 LAI présuppose que l’assuré, en plus d’être cou- vert par l’assurance-invalidité suisse, soit invalide ou menacé d’invalidité (cf. également, MICHEL VALTERIO, Commentaire de la loi fédérale sur l’as- surance-invalidité [LAI], 2018, ad art. 8 n° 14). En outre, les mesures doi- vent être nécessaires et de nature à rétablir, maintenir ou améliorer sa ca- pacité de gain ou sa capacité d’accomplir ses travaux habituels. Selon la jurisprudence, il n’y a pas lieu d’allouer des mesures de réadaptation à un assuré qui dispose d’une importante capacité résiduelle lorsqu’il peut la mettre à profit dans sa nouvelle activité ou dans une activité adaptée qu’il</w:t>
      </w:r>
    </w:p>
    <w:p>
      <w:r>
        <w:t>C-3191/2021 Page 15 pourrait exercer (arrêt du Tribunal fédéral 9C_163/2009 du 10 septembre 2010 consid. 4.2.2 ; VALTERIO, op. cit., ad art. 8 n° 3). En l’occurrence, le recourant dispose d’une capacité de travail pleine et entière dans l’exercice d’activités ne nécessitant pas de formation. En effet, pour la détermination du salaire d’invalide, l’autorité précédente s’est ap- puyée sur les données de l’Office fédéral de la statistique (OFS), en rete- nant le niveau de compétence 1 (tâches physiques ou manuelles simples) du tableau 2018 « TA1_tirage_skill_level » (secteur privé total). Aussi, le recourant, en mettant pleinement à profit sa capacité de travail, ne subit aucune perte de gain. Au vu de ce qui précède, des mesures de réadapta- tion ne sont pas nécessaires pour maintenir ou améliorer la capacité de gain du recourant, qui est au bénéfice d’un BAC STT action et communi- cation commerciales, est âgé d’un peu plus de 40 ans et a été en mesure, après son accident professionnel, de retrouver un emploi en tant que con- cierge (cf. ci-dessus, let. B.b).</w:t>
      </w:r>
    </w:p>
    <w:p>
      <w:r>
        <w:rPr>
          <w:b/>
        </w:rPr>
        <w:t>E. 8</w:t>
      </w:r>
    </w:p>
    <w:p>
      <w:r>
        <w:t>Il résulte de ce qui précède que le recours doit être rejeté et la décision du 18 juin 2021 confirmée.</w:t>
      </w:r>
    </w:p>
    <w:p>
      <w:r>
        <w:rPr>
          <w:b/>
        </w:rPr>
        <w:t>E. 9.1</w:t>
      </w:r>
    </w:p>
    <w:p>
      <w:r>
        <w:t>Vu l'issue du litige, les frais judiciaires – fixés à Fr. 800.- – sont mis à la charge du recourant (art. 63 PA en relation avec les art. 2 ss du règlement du 21 février 2008 concernant les frais, dépens et indemnités fixés par le Tribunal administratif fédéral [FITAF, RS 173.320.2]). Ils sont compensés par l'avance de frais du même montant dont il s'est acquitté au cours de l'instruction (TAF pce 4).</w:t>
      </w:r>
    </w:p>
    <w:p>
      <w:r>
        <w:rPr>
          <w:b/>
        </w:rPr>
        <w:t>E. 9.2</w:t>
      </w:r>
    </w:p>
    <w:p>
      <w:r>
        <w:t>Il n'est pas alloué d'indemnité de dépens (art. 7 al. 1 et 3 FITAF).</w:t>
      </w:r>
    </w:p>
    <w:p>
      <w:r>
        <w:t>C-3191/2021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