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C-3191/2012 vom 8. August 2013</w:t>
      </w:r>
    </w:p>
    <w:p>
      <w:r>
        <w:t>Bundesverwaltungsgericht, 2013-08-08, DE</w:t>
      </w:r>
    </w:p>
    <w:p>
      <w:r>
        <w:rPr>
          <w:b/>
        </w:rPr>
        <w:t xml:space="preserve">Quelle: </w:t>
      </w:r>
      <w:r>
        <w:t>https://mcp.opencaselaw.ch/entscheid/bvger_C-3191_2012</w:t>
      </w:r>
    </w:p>
    <w:p>
      <w:r>
        <w:t>FR: TAF C-3191/2012 du 8 août 2013</w:t>
      </w:r>
    </w:p>
    <w:p>
      <w:r>
        <w:t>IT: TAF C-3191/2012 del 8 agosto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[3. Satz] und Abs.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1.3.1</w:t>
      </w:r>
    </w:p>
    <w:p>
      <w:r>
        <w:t>Die Beschwerde wurde fristgerecht eingereicht (vgl. Art. 22a VwVG in Verbindung mit Art. 60 ATSG). Als Adressat der angefochtenen Verfügung vom 1. Mai 2012 (act. 72) ist der Beschwerdeführer berührt und hat ein schutzwürdiges Interesse an deren Aufhebung oder Änderung (vgl. Art. 59 ATSG).</w:t>
      </w:r>
    </w:p>
    <w:p>
      <w:r>
        <w:rPr>
          <w:b/>
        </w:rPr>
        <w:t>E. 1.3.2.1</w:t>
      </w:r>
    </w:p>
    <w:p>
      <w:r>
        <w:t>Betreffend die Ausführungen der IV-Stelle BS in formeller Hinsicht ist festzustellen, dass an Form und Inhalt einer Beschwerde praxisgemäss keine strengen Anforderungen zu stellen sind. Aber auch wenn die Einhaltung von Formvorschriften nicht nach strengen Massstäben zu beurteilen ist, muss von der rechtsuchenden Person doch ein Mindestmass an Sorgfalt in der Beschwerdeführung verlangt werden. Damit von einer Beschwerde gesprochen werden kann, muss eine individualisierte Person gegenüber einer bestimmten Verfügung den klaren Anfechtungswillen schriftlich bekunden, indem sie erkenntlich ihren Willen um Änderung der sie betreffenden Rechtslage zum Ausdruck bringt (ZAK 1988 S. 459 E. 3a mit Hinweisen). Fehlt es hieran, so ist gar kein Beschwerdeverfahren anhängig gemacht worden (BGE 116 V 353 E. 2b). Der Beschwerdewille setzt voraus, dass in der Eingabe mindestens erkenntlich der Wille zum Ausdruck gebracht wird, dass die betreffende Person als Beschwerdeführerin auftreten will und bei einer höheren Instanz die Änderung einer bestimmten, sie betreffenden und mittels Verfügung geschaffenen Rechtslage anstrebt (BGE 117 Ia 126 E. 5c und d).</w:t>
      </w:r>
    </w:p>
    <w:p>
      <w:r>
        <w:rPr>
          <w:b/>
        </w:rPr>
        <w:t>E. 1.3.2.2</w:t>
      </w:r>
    </w:p>
    <w:p>
      <w:r>
        <w:t>Die Ausführungen der IV-Stelle BS in deren Stellungnahme vom 3. August 2012, wonach die Beschwerde eine gedrängte Darstellung des Sachverhalts, ein Rechtsbegehren und eine kurze Begründung enthalten müsse, treffen zweifelsfrei zu (vgl. Art. 61 lit. b ATSG). Indem der Beschwerdeführer ausführen liess, er sei betreffend IV-Grad mit dem Entscheid der Vorinstanz nicht einverstanden, liess er einen Anfechtungswillen kundtun. Da der Eingabe vom 8. Juni 2012 weiter entnommen werden kann, worum es beim vorliegend zu beurteilenden Rechtsstreit geht, kann diese - da die Minimalanforderungen erfüllt sind - trotz der formellen Mängel gerade noch als knapp rechtsgenügliche (vgl. hierzu BGE 101 V 127 mit Hinweis) resp. knapp formgerechte (vgl. Art. 52 Abs. 1 VwVG) Beschwerde qualifiziert werden.</w:t>
      </w:r>
    </w:p>
    <w:p>
      <w:r>
        <w:rPr>
          <w:b/>
        </w:rPr>
        <w:t>E. 1.3.3</w:t>
      </w:r>
    </w:p>
    <w:p>
      <w:r>
        <w:t>Da auch der Kostenvorschuss fristgerecht geleistet worden war, ergibt sich zusammenfassend, dass sämtliche Prozessvoraussetzungen erfüllt sind. Auf die Beschwerde ist daher einzutreten.</w:t>
      </w:r>
    </w:p>
    <w:p>
      <w:r>
        <w:rPr>
          <w:b/>
        </w:rPr>
        <w:t>E. 1.4</w:t>
      </w:r>
    </w:p>
    <w:p>
      <w:r>
        <w:t>Anfechtungsobjekt bildet die Verfügung der Vorinstanz vom 1. Mai 2012 (act. 72), mit welcher der Rentenanspruch des Beschwerdeführers bei einem IV-Grad von 12 % abgewiesen worden ist. Streitig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besitzt die französische Staatsbürgerschaft und wohnt in Frankreich,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Mit Blick auf den Verfügungszeitpunkt (1. Mai 2012) finden vorliegend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sofern in dieser Verordnung nichts anderes bestimmt ist, für die diese Verordnung gilt,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w:t>
      </w:r>
    </w:p>
    <w:p>
      <w:r>
        <w:rPr>
          <w:b/>
        </w:rPr>
        <w:t>E. 2.2</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Im vor­liegenden Verfahren fin­den grundsätzlich jene Vor­schriften Anwendung, die im Zeitpunkt des Erlasses der mit angefochtenen Verfügung vom 1. Mai 2012 (act. 72) in Kraft standen; weiter aber auch sol­che, die zu jenem Zeitpunkt bereits ausser Kraft getreten waren, die aber für die Beurteilung eines allenfalls früher entstandenen Rentenanspruchs von Belang sind (das IVG ab dem 1. Januar 2008 in der Fassung vom 6. Oktober 2006 [AS 2007 5129; 5. IV-Revi­sion]; die IVV in der ent­sprechenden Fassung der 5. IV-Revi­sion [AS 2007 5155]). Mit Blick auf das Datum der angefochtenen Verfügung (1. Mai 2012) gelangen ebenfalls die Normen des vom Bundesrat auf den 1. Januar 2012 in Kraft gesetzten ersten Teils der 6. IV-Revision (IV-Revision 6a) zur Anwendung.</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(act. 4), so dass die Voraussetzung der Mindestbei­tragsdauer für den Anspruch auf eine ordentliche Invalidenrente sowohl gemäss Art. 36 Abs. 1 IVG in der bis 31. Dezember 2007 gültig gewesenen als auch laut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127 V 294 E. 4c in fine, 102 V 165; AHI 2001 S. 228 E. 2b).</w:t>
      </w:r>
    </w:p>
    <w:p>
      <w:r>
        <w:rPr>
          <w:b/>
        </w:rPr>
        <w:t>E. 2.6</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nicht gegeben. Nach der Recht­sprechung des Eidgenössischen Versicherungsgerichts (EVG; seit 1. Januar 2007: BGer) stellt diese Regelung nicht eine blosse Auszah­lungsvorschrift, sondern eine be­sondere Anspruchsvoraussetzung dar (BGE 121 V 275 E. 6c).</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Beim Erlass der angefochtenen Verfügung vom 1. Mai 2012 stützte sich die Vorinstanz in medizinischer Hinsicht insbesondere auf das Gutachten der Dres. med. C._______, Facharzt für Rheumatologie und Innere Medizin, und B._______, Facharzt für Psychiatrie und Psychotherapie, vom 9. Juni 2010 (act. 35). Diese Expertise ist im Folgenden zusammengefasst wiederzugeben und - zusammen mit weiteren Arztberichten - einer Würdigung zu unterziehen.</w:t>
      </w:r>
    </w:p>
    <w:p>
      <w:r>
        <w:rPr>
          <w:b/>
        </w:rPr>
        <w:t>E. 3.1</w:t>
      </w:r>
    </w:p>
    <w:p>
      <w:r>
        <w:t>Dr. med. C._______ stellte aus rheumatologischer Sicht mit Auswirkungen auf die Arbeitsfähigkeit die Diagnose eines chronischen Lumbovertebralsyndroms (ICD-10: M54) mit/bei einer intermittierend spondylogenen Ausstrahlung beidseits, Protrusionen L4/5 und L5/S1 bis mediane Hernie L5/S1 sowie einer Mehretagendegeneration mit Osteochondrosen L2/3, L3/4, L4/5 und L5/S1. In psychiatrischer Hinsicht stellte Dr. med. B._______ mit Auswirkungen auf die Arbeitsfähigkeit keine Diagnose; ohne Auswirkungen erwähnte er eine Dysthymie (ICD-10: F34.1). Im Rahmen der Gesamtbeurteilung führten die Gutachter im Wesentlichen aus, die bisherige Arbeit sei eine körperlich recht schwere und in unergonomischen Stellungen auszuführende Tätigkeit, welche dem Versicherten aufgrund der lumbalen Pathologie nicht mehr zumutbar sei. Eine leidensadaptierte Verweisungstätigkeit (rückenschonend ohne Heben, Stossen oder Ziehen über 10 kg, kein dauerndes Arbeiten in Zwangshaltungen [nicht repetitiv oder nur bückend]) sei aus somatischer Sicht ganztags zumutbar; auch aus psychiatrischer Sicht bestehe in einer solchen Tätigkeit eine 100%ige Arbeitsfähigkeit. Abschliessend wurde ausgeführt, aus rheumatologischer Sicht fänden sich keine eigentlichen Diskrepanzen zwischen den subjektiven Angaben des Versicherten und den Untersuchungsbefunden, auch wenn die Schmerzen "heute" in erheblichem Ausmass empfunden würden und er angebe, nur einen halben Tag arbeiten zu können. Es bestünden erhebliche Diskopathien, welche die Beschwerden erklärten. Allerdings könne die Einschränkung auf ein Halbtagspensum nicht nachvollzogen werden.</w:t>
      </w:r>
    </w:p>
    <w:p>
      <w:r>
        <w:rPr>
          <w:b/>
        </w:rPr>
        <w:t>E. 3.2</w:t>
      </w:r>
    </w:p>
    <w:p>
      <w:r>
        <w:t>Das Gutachten der Dres. med. C._______ und B._______ vom 9. Juni 2010 erfüllt die an den vollen Beweiswert eines ärztlichen Gutachtens gestellten Kriterien. Insbesondere ist es für die streitigen Belange umfassend, beruht auf allseitigen Untersuchungen, berücksichtigt die geklagten Beschwerden und wurde in Kenntnis der Vorakten (Anamnese) abgegeben. Es ist zudem in der Darlegung der medizinischen Zusammenhänge und in der Beurteilung der medizinischen Situation einleuchtend und in den Schlussfolgerungen begründet, so dass darauf abgestellt werden kann. Demnach lässt sich der gesundheitliche Zustand des Beschwerdeführers und dessen Auswirkungen auf die Arbeits- und Leistungsfähigkeit im massgeblichen Verfügungszeitpunkt vom 1. Mai 2012 schlüssig und zuverlässig beurteilen (vgl. BGE 125 V 353 E. 3b/bb; vgl. zum Ganzen auch E. 2.6 hiervor). In der zuletzt ausgeübten Tätigkeit als Palettenreparateur sowie in anderen relativ schweren und nicht ergonomischen Tätigkeiten besteht demnach aus gesamtmedizinischer Sicht eine volle Arbeitsunfähigkeit. Eine leidensadaptierte Verweisungstätigkeit wäre dem Beschwerdeführer jedoch vollzeitlich ohne nennenswerte Leistungseinbussen zumutbar.</w:t>
      </w:r>
    </w:p>
    <w:p>
      <w:r>
        <w:rPr>
          <w:b/>
        </w:rPr>
        <w:t>E. 3.2.1</w:t>
      </w:r>
    </w:p>
    <w:p>
      <w:r>
        <w:t>Die Expertise der Dres. med. C._______ und B._______ steht auch im Einklang mit dem - ebenfalls voll beweiskräftigen - Gutachten des Dr. med. D._______, Facharzt für Innere Medizin, speziell Rheumatologie, vom 6. August 2010 (act. 44). Auch Dr. med. D._______ hielt dafür, dass die zuletzt ausgeübte Arbeit als Reparateur von Holzpaletten resp. eine körperlich schwer belastende und den Rücken traumatisierende Tätigkeit nicht mehr möglich und zumutbar ist, in einer den Beschwerden angepassten Tätigkeit (kein Heben von Lasten über 15 kg und kein repetitives gebücktes Arbeiten) jedoch eine vollständige Arbeitsfähigkeit besteht.</w:t>
      </w:r>
    </w:p>
    <w:p>
      <w:r>
        <w:rPr>
          <w:b/>
        </w:rPr>
        <w:t>E. 3.2.2</w:t>
      </w:r>
    </w:p>
    <w:p>
      <w:r>
        <w:t>An der vollen Beweiskraft der vorstehend erwähnten Gutachten vermögen auch die vom Beschwerdeführer nachgereichten Berichte (act. 58 und 59) nichts zu ändern. So legte der RAD in seiner Stellungnahme vom 15. Februar 2011 - bei welcher es sich um einen Bericht im Sinne von Art. 59 Abs. 2bis IVG handelt (vgl. zum Sinn und Zweck dieser gesetzlichen Norm sowie zu Art. 49 IVV Urteil des BGer 9C_323/2009 vom 14. Juli 2009 E. 4.2 mit zahlreichen weiteren Hinweisen) und welche ein entscheidrelevantes Aktenstück darstellt (vgl. Urteile I 143/07 des BGer vom 14. September 2007 E. 3.3 mit Hinweisen und I 694/05 des EVG vom 15. Dezember 2006 E. 5) - schlüssig und überzeugend dar, dass die von Dr. med. G._______ in dessen Bericht vom 8. Februar 2011 gemachten Angaben nicht über eine Dysthymie oder eine Anpassungsstörung hinausgehen, die eine relevante und langdauernde Beeinträchtigung der Arbeitsfähigkeit begründen würden. Ergänzend ist in diesem Zusammenhang darauf hinzuweisen, dass eine Dysthymie, welche nicht - wie vorliegend beim Versicherten - zusammen mit anderen Befunden wie etwa einer ernsthaften Persönlichkeitsstörung auftritt, nach der Rechtsprechung nicht einem Gesundheitsschaden im Sinne des Gesetzes gleichkommt; sie ist allein diagnostiziert somit regelmässig nicht invalidisierend (SVR 2011 IV Nr. 17 S. 45 E. 2.2.2).</w:t>
      </w:r>
    </w:p>
    <w:p>
      <w:r>
        <w:rPr>
          <w:b/>
        </w:rPr>
        <w:t>E. 3.2.3</w:t>
      </w:r>
    </w:p>
    <w:p>
      <w:r>
        <w:t>Auch weitere nachgereichte Berichte (act. 64 bis 66) führen zu keinem anderen Ergebnis. Der RAD-Arzt Dr. med. E._______, Facharzt für Allgemeinmedizin, legte in seiner Stellungnahme vom 3. April 2012 in überzeugender Art und Weise und somit rechtsgenüglich dar, dass in die von Dr. med. F._______ am 31. Juli 2011 abgegebene Beurteilung der Arbeits- resp. Leistungsfähigkeit IV-fremde Argumente, welche bei der Festlegung der medizinisch-theoretischen Arbeitsfähigkeit irrelevant sind - mit eingeflossen sind. Ausserdem treffen seine Ausführungen, es gebe keine Hinweise auf eine Verschlechterung der psychischen Situation seit der Begutachtung durch Dr. med. B._______, mit Blick auf die gesamten Akten zu. Unter diesen Umständen konnte - wie von Dr. med. E._______ festgestellt - ohne weiteres vom Einholen eines psychiatrischen Verlaufsgutachtens abgesehen werden.</w:t>
      </w:r>
    </w:p>
    <w:p>
      <w:r>
        <w:rPr>
          <w:b/>
        </w:rPr>
        <w:t>E. 3.2.4</w:t>
      </w:r>
    </w:p>
    <w:p>
      <w:r>
        <w:t>Schliesslich ist darauf hinzuweisen, dass die nach Verfügungserlass vom 1. Mai 2012 verfassten und während des Beschwerdeverfahrens eingereichten Berichte (Beilagen zu B-act. 8, 10 bis 14, 16 und 17) - soweit sie sich auf den Beurteilungszeitraum beziehen und damit ebenfalls zu berücksichtigen sind (vgl. BGE 129 V 1 E. 1.2, BGE 116 V 80 E. 6b; Urteile des BGer 8C_278/2011 vom 26. Juli 2011) - mangels ausgewiesener Verschlechterung des Gesundheitszustands in gesamtmedizinischer Hinsicht die bisherigen Ergebnisse ebenfalls nicht umzustossen vermögen.</w:t>
      </w:r>
    </w:p>
    <w:p>
      <w:r>
        <w:rPr>
          <w:b/>
        </w:rPr>
        <w:t>E. 3.3</w:t>
      </w:r>
    </w:p>
    <w:p>
      <w:r>
        <w:t>Aufgrund der vorstehenden Erwägungen ist zusammenfassend festzuhalten, dass sich aufgrund der vorliegenden medizinischen Dokumente der Gesundheitszustand und dessen Auswirkungen auf die Arbeitsfähigkeit rechtsgenüglich beurteilen lassen. Der Beschwerdeführer ist in seiner angestammten resp. zuletzt ausgeübten Tätigkeit vollständig arbeits- bzw. leistungsunfähig und kann folglich kein rentenausschliessendes Invalideneinkommen mehr erzielen. Die Invalidität kann somit nicht mittels eines Prozentvergleichs bemessen werden (vgl. zur Zulässigkeit des Prozentvergleichs Urteil des BGer 9C_785/2009 vom 2. Dezember 2009 E. 2.2 mit Hinweisen auf BGE 114 V 310 E. 3a S. 312; 104 V 135 E. 2b S. 137). Vielmehr ist ein bezifferter Einkommensvergleich durchzuführen resp. die Invalidität nach der allgemeinen Methode des Einkommensvergleichs zu bemessen, wie dies die Vorinstanz resp. die IV-Stelle BS in nicht zu beanstandender Weise gemacht hat. Ergänzend ist betreffend die Bemessung der Invalidität Folgendes zu erwähnen:</w:t>
      </w:r>
    </w:p>
    <w:p>
      <w:r>
        <w:rPr>
          <w:b/>
        </w:rPr>
        <w:t>E. 4.1</w:t>
      </w:r>
    </w:p>
    <w:p>
      <w:r>
        <w:t>Vorab ist zu festzuhalten, dass sich der Beschwerdeführer mit Jahrgang 1958 noch in einem Alter befindet, in dem ihm der ausgeglichene Arbeitsmarkt genügend Tätigkeiten bietet, welche dem vorhandenen Zumutbarkeitsprofil (vgl. die voll beweiskräftigen Gutachten der Dres. med. C._______, B._______ und D._______ vom 9. Juni und 6. August 2010 [siehe E. 3.2 und 3.2.1 hiervor]) entsprechen. Da vorliegend die vom Beschwerdeführer zu fordernde, gegenüber der beruflichen Eingliederung vorrangige Selbsteingliederung (vgl. hierzu BGE 113 V 22 E. 4a S. 28; SVR 2007 IV Nr. 1 S. 3 E. 5.1) direkt zur rentenausschliessenden arbeitsmarktlichen Verwertbarkeit des funktionellen Leistungsvermögens führt, konnte von der Durchführung beruflicher Eingliederungsmassnahmen abgesehen werden. Ergänzend ist darauf hinzuweisen, dass die Rechtsprechung gemäss Urteil des Bundesgerichts 9C_228/2010 vom 26. April 2011 (E. 3.3 ff.) grundsätzlich auf Sachverhalte zu beschränken ist, in denen die revisions- oder wiedererwägungsweise Herabsetzung oder Aufhebung der Invalidenrente eine versicherte Person betrifft, die das 55. Altersjahr zurückgelegt oder die Rente seit mehr als 15 Jahren bezogen hat.</w:t>
      </w:r>
    </w:p>
    <w:p>
      <w:r>
        <w:rPr>
          <w:b/>
        </w:rPr>
        <w:t>E. 4.2</w:t>
      </w:r>
    </w:p>
    <w:p>
      <w:r>
        <w:t>Im Rahmen des Vorbescheids vom 24. November 2010 (act. 49) resp. der angefochtenen Verfügung vom 1. Mai 2012 (act. 72) wurde aufgrund von Zahlen für das Jahr 2009 ein Einkommensvergleich erstellt und ein IV-Grad von 12 % ermittelt. Da der frühest mögliche hypothetische Rentenbeginn aufgrund der ärztlicherseits ab dem 29. Juli 2009 attestierten 50%igen Arbeitsunfähigkeit (act. 14 S. 3) im Juli 2010 gewesen wäre, hätte die Vorinstanz resp. die IV-Stelle BS bei Ermittlung der beiden hypothetischen Vergleichseinkommen an sich die Werte für das Jahr 2010 beiziehen müssen, zumal auch eine wesentliche Entscheidgrundlage - das Gutachten der Dres. med. C._______ und B._______ - aus diesem Jahr datiert resp. das rechtsgenügliche Leistungskalkül spätestens ab dem Gutachtensdatum (9. Juni 2010) Geltung hat. Da jedoch die Verwendung des hypothetischen Valideneinkommens für das Jahr 2010 und das hypothetische Valideneinkommen gemäss Tabellenlohn der Lohnstrukturerhebungen 2010 am Ergebnis eines rentenausschliessenden IV-Grades nichts ändert, können dennoch die von der Vorinstanz resp. der IV-Stelle BS verwendeten Werte herangezogen werden resp. ist auf deren Invaliditätsbemessung zu verweisen. Demnach lässt sich der errechnete IV-Grad von 12 % nicht beanstanden.</w:t>
      </w:r>
    </w:p>
    <w:p>
      <w:r>
        <w:rPr>
          <w:b/>
        </w:rPr>
        <w:t>E. 5</w:t>
      </w:r>
    </w:p>
    <w:p>
      <w:r>
        <w:t>Aufgrund der vorstehenden Erwägungen ist zusammenfassend festzuhalten, dass sich die angefochtene Verfügung vom 1. Mai 2012 als rechtens erweist, weshalb die dagegen erhobene Beschwerde vom 8. Juni 2012 als unbegründet abzuweisen ist.</w:t>
      </w:r>
    </w:p>
    <w:p>
      <w:r>
        <w:rPr>
          <w:b/>
        </w:rPr>
        <w:t>E. 6</w:t>
      </w:r>
    </w:p>
    <w:p>
      <w:r>
        <w:t>Zu befinden bleibt noch über die Verfahrenskosten und eine allfällige Parteientschädigung.</w:t>
      </w:r>
    </w:p>
    <w:p>
      <w:r>
        <w:rPr>
          <w:b/>
        </w:rPr>
        <w:t>E. 6.1</w:t>
      </w:r>
    </w:p>
    <w:p>
      <w:r>
        <w:t>Entsprechend dem Ausgang des Verfahrens hat der Beschwerde­führer die Verfahren­skosten zu tragen (Art. 63 Abs. 1 VwVG). Diese sind auf Fr. 400.- festzusetzen und mit dem geleisteten Kostenvorschuss in gleicher Höhe zu verrechnen.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