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C-3187/2019 vom 26. April 2021</w:t>
      </w:r>
    </w:p>
    <w:p>
      <w:r>
        <w:t>Bundesverwaltungsgericht, 2021-04-26, DE</w:t>
      </w:r>
    </w:p>
    <w:p>
      <w:r>
        <w:rPr>
          <w:b/>
        </w:rPr>
        <w:t xml:space="preserve">Quelle: </w:t>
      </w:r>
      <w:r>
        <w:t>https://mcp.opencaselaw.ch/entscheid/bvger_C-3187_2019</w:t>
      </w:r>
    </w:p>
    <w:p>
      <w:r>
        <w:t>FR: TAF C-3187/2019 du 26 avril 2021</w:t>
      </w:r>
    </w:p>
    <w:p>
      <w:r>
        <w:t>IT: TAF C-3187/2019 del 26 aprile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3. Mai 2019 (act. 149) berührt und kann sich auf ein schutzwürdiges Interesse an deren Aufhebung oder Änderung berufen (Art. 59 ATSG; Art. 48 Abs. 1 VwVG). Da der Beschwerdeführer den Kostenvorschuss in der Höhe von Fr. 800.- fristgerecht geleistet hat (B-act. 5) und das Bundesverwaltungsgericht den Ausführungen der Vorinstanz betreffend Fristwahrung im Zusammenhang mit der Einreichung der Beschwerde seitens des Beschwerdeführers (B-act. 7) nichts weiter beizufügen hat, ist auf die frist- und formgerecht eingereichte Beschwerde (Art. 60 ATSG; Art. 50 Abs. 1 und Art. 52 Abs. 1 in Verbindung mit Art. 63 Abs. 4 VwVG) einzutreten.</w:t>
      </w:r>
    </w:p>
    <w:p>
      <w:r>
        <w:rPr>
          <w:b/>
        </w:rPr>
        <w:t>E. 1.4</w:t>
      </w:r>
    </w:p>
    <w:p>
      <w:r>
        <w:t>Anfechtungsobjekt und damit Begrenzung des Streitgegenstandes des vorliegenden Beschwerdeverfahrens (vgl. BGE 131 V 164 E. 2.1) bildet die Verfügung der Vorinstanz vom 3. Mai 2019 (act. 149), mit welcher die Vor-instanz das Rentenbegehren des Beschwerdeführers abgewiesen hat. Streitig und zu prüfen ist die Rechtmässigkeit dieser Verfügung resp. mit Blick auf die Ausführungen des Beschwerdeführers, ob dieser Anspruch auf mindestens eine befristete Viertelsrente hat bzw. ob der Vorinstanz in medizinischer Hinsicht nun - wie vom Bundesverwaltungsgericht im Entscheid C-6145/2015 vom 3. Oktober 2016 angeordnet (act. 50) und im Rahmen der Gutheissung der Rechtsverweigerungs- und Rechtsverzögerungsbeschwerde mit Urteil C-4887/2017 vom 6. Dezember 2017 (act. 90) bestätigt - eine voll beweiskräftige, polydisziplinäre (internistische, neurologische, psychiatrische) Expertise als Entscheidbasis diente.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Schweizer Staatsbürger und wohnt in Deutschland, sodass vorliegend in erster Linie Schweizer Recht anwendbar ist. Ebenfalls kann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3. Mai 2019 (act. 149)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6 S. 2; vgl. auch Sachverhalt A.),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Demgegenüber fällt es nicht in den Aufgabenbereich des Arztes oder der Ärztin, sich zur Höhe einer allfälligen Rente zu äussern, da der Begriff der Invalidität nicht nur von medizinischen, sondern auch von erwerblichen Faktoren bestimmt wird (vgl. Art. 16 ATSG).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3</w:t>
      </w:r>
    </w:p>
    <w:p>
      <w:r>
        <w:t>Aus dem Bescheid des (...) vom 15. Februar 2007, mit welchem ein Grad der Behinderung (GdB) im Ausmass von 50 % festgelegt wurde (act. 14), kann der Beschwerdeführer nichts zu seinen Gunsten ableiten, da sich sein allfälliger Rentenanspruch alleine aufgrund der schweizerischen Rechtsgrundlagen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Das Bundesverwaltungsgericht erwog im Entscheid C-6145/2015 - an welchen diese Instanz vorliegend gebunden bleibt (vgl. hierzu BGE 135 III 334 E. 2; Urteile des BGer 8C_680/2015 vom 14. Dezember 2015 E. 4.1 und 4.3.3 und 8C_720/2015 vom 12. April 2016 E. 3) - zusammenfassend, dass die angefochtene Verfügung vom 31. August 2015 aufgrund der unzureichenden medizinischen Sachverhaltsabklärung aufzuheben und die Sache zur Neubeurteilung des strittigen Rentenanspruchs mit Wirkung ab 1. August 2013 an die Vorinstanz zurückzuweisen sei. Insofern sei die Beschwerde vom 23. September 2015 gutzuheissen. Die Vorinstanz werde gestützt auf Art. 61 Abs. 1 VwVG angewiesen, eine umfassende, polydisziplinäre Begutachtung des Beschwerdeführers (insbesondere in internistischer, neurologischer und psychiatrischer Hinsicht) in der Schweiz zu veranlassen. Die beauftragten Gutachter hätten dabei insbesondere sämtliche medizinischen Vorakten einschliesslich des Gutachtens von Dr. med. C._______ und der bisherigen Stellungnahmen des medizinischen Dienstes auszuwerten und in ihre Beurteilung einzubeziehen (act. 50 S. 16 E. 6).</w:t>
      </w:r>
    </w:p>
    <w:p>
      <w:r>
        <w:rPr>
          <w:b/>
        </w:rPr>
        <w:t>E. 5</w:t>
      </w:r>
    </w:p>
    <w:p>
      <w:r>
        <w:t>Im Zusammenhang mit der vorliegend angefochtenen, in Nachachtung des erwähnten Urteils C-6145/2015 vom 3. Oktober 2016 ergangenen Verfügung vom 3. Mai 2019 stützte sich die Vorinstanz in medizinischer Hinsicht in erster Linie auf das polydisziplinäre Gutachten vom 15. Oktober 2018 (act. 113) resp. die entsprechenden Teilgutachten von Dr. med. F._______, Facharzt für Allgemeine Innere Medizin, vom 11. September 2018 (act. 114), Dr. med. G._______, Facharzt für Psychiatrie und Psychotherapie, vom 13. September 2018 (act. 116) und Dr. med. H._______, Facharzt für Neurologie, vom 2. Oktober 2018 (act. 115) sowie auf die Stellungnahme der Dres. med. I._______, Fachärztin für Allgemeine und Physikalische Medizin und Rehabilitation, und J._______, Facharzt für Psychiatrie und Psychotherapie, vom IV-internen medizinischen Dienst vom 18. Februar 2019 (act. 147). Diese medizinischen Dokumente sind nachfolgend zusammengefasst wiederzugeben und einer Würdigung zu unterziehen. Anhand dieser medizinischen Akten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11. Februar 2013 (act. 1) könnte dem Beschwerdeführer demnach frühestens ab dem 1. August 2013 unter der Bedingung, dass die materiellen Anspruchsvoraussetzungen von Art. 28 Abs. 1 Bst. a bis c IVG erfüllt sind (vgl. E. 1.4.2 und 2.6 hiervor), eine IV-Rente ausgerichtet werden.</w:t>
      </w:r>
    </w:p>
    <w:p>
      <w:r>
        <w:rPr>
          <w:b/>
        </w:rPr>
        <w:t>E. 5.1.1</w:t>
      </w:r>
    </w:p>
    <w:p>
      <w:r>
        <w:t>Dr. med. F._______, Facharzt für Allgemeine Innere Medizin, stellte in seinem allgemeininternistischen Gutachten vom 11. September 2018 (act. 114) keine Diagnosen. Im Weiteren verwies er auf das neurologische Fachgutachten von Dr. med. H._______ und auf die psychiatrische Untersuchung.</w:t>
      </w:r>
    </w:p>
    <w:p>
      <w:r>
        <w:rPr>
          <w:b/>
        </w:rPr>
        <w:t>E. 5.1.2</w:t>
      </w:r>
    </w:p>
    <w:p>
      <w:r>
        <w:t>DR. med. G._______, Facharzt für Psychiatrie und Psychotherapie, diagnostizierte in seinem psychiatrischen Teilgutachten vom 13. September 2018 (act. 116) ebenfalls keine psychischen Krankheiten. Er berichtete zusammengefasst, zum jetzigen Zeitpunkt könne keine depressive Episode diagnostiziert werden. Es bestehe keine Anhedonie und keine Reduktion des Antriebs und der Interessen. Lediglich eine erhöhte Ermüdbarkeit werde vom Versicherten geschildert. Trotz dieser erhöhten Ermüdbarkeit sei er sehr aktiv. Es sei somit nicht davon auszugehen, dass sich die subjektiv erlebte erhöhte Ermüdbarkeit schwergradig auf die Aktivitäten des Versicherten auswirkten. Dies werde auch durch die Gutachten von 2017 und 2015 so unterstrichen. Bereits in den beiden Reha-Austrittsberichten von 2012 und 2010, in denen ein Erschöpfungszustand und eine depressive Episode diagnostiziert worden seien, werde der Versicherte als voll arbeitsfähig nach dem Austritt beurteilt. Es sei somit auch nicht in der Vergangenheit davon auszugehen, dass die Arbeitsfähigkeit des Versicherten aufgrund dieser erhöhten Ermüdbarkeit eingeschränkt gewesen wäre. Hinweise für akzentuierte Persönlichkeitszüge ergäben sich weder aufgrund der Anamnese noch der Begutachtung. Andere psychopathologische Befunde oder gar Diagnosen könnten nicht gestellt werden. Aus psychiatrischer Sicht sei der Versicherte weder jetzt noch in der Vergangenheit in seiner Arbeitsfähigkeit eingeschränkt gewesen. Dies zeige sich auch im Mini-ICF-APP-Rating-Bogen, wo sich keinerlei Beeinträchtigungen gefunden hätten. Es seien aus psychiatrischer Sicht keine medizinischen Massnahmen indiziert. Die in der aufgehobenen Verfügung attestierten 100%igen Arbeitsunfähigkeiten (16. Oktober bis 8. November 2005, 9. März bis 20. April 2010 und 8. bis 25. Dezember 2012) könnten aufgrund der entsprechenden stationären Aufenthalte bestätigt werden. Es sei nicht davon auszugehen, dass sich seit der aufgehobenen Verfügung der Gesundheitszustand verschlechtert habe.</w:t>
      </w:r>
    </w:p>
    <w:p>
      <w:r>
        <w:rPr>
          <w:b/>
        </w:rPr>
        <w:t>E. 5.1.3</w:t>
      </w:r>
    </w:p>
    <w:p>
      <w:r>
        <w:t>Dr. med. H._______, Facharzt für Neurologie, diagnostizierte in seinem neurologischen Teilgutachten vom 2. Oktober 2018 (act. 115) einen Status nach subakutem Subduralhämatom rechts nach leichtem Schädelhirntrauma vom 15. Oktober 2005 sowie Zustände nach armbetonter Hemiparese links, fokalem epileptischem Anfall brachio-facial links mit nachfolgender Todd'scher Parese sowie nach Evakuation des Subduralhämatoms am 25. Oktober 2005. Weiter berichtete Dr. med. H._______, da der Versicherte pensioniert und nicht mehr erwerbstätig sei, erfolge die aktuelle Diagnoseauflistung ohne Unterscheidung mit/ohne Auswirkung auf die Arbeitsfähigkeit. Es handle sich um eine retrospektive Beurteilung der Arbeitsfähigkeit im Anschluss an das akute Ereignis vom 15. Oktober 2005. Diese könne zusammenfassend sowohl für die ursprünglich ausgeübte Tätigkeit als kaufmännischer Angestellter und Betriebswirtschafter wie auch für die später ausgeübte Tätigkeit als Personalberater erfolgen. Im Anschluss an das erlittene rechtshemisphärische Subduralhämaton und die durchgeführte neurochirurgische Behandlung bestehe retrospektiv eine 100%ige Arbeitsunfähigkeit ab dem 15. Oktober 2005. Deren Dauer sei anhand der Aktenlage mindestens bis zum Zeitpunkt der Beendigung der Behandlung im Zentrum für ambulante Rehabilitation, Berlin, zu bescheinigen. Im Abschlussbericht vom 10. Februar 2006 habe diese Institution bescheinigt, dass der Versicherte sowohl in seiner bisherigen Tätigkeit als auch auf dem allgemeinen Arbeitsmarkt einsetzbar sei. Arbiträr sei eine wiederhergestellte vollschichtige Arbeitsfähigkeit ab dem Zeitpunkt des vom Versicherten genannten neurologischen Behandlungsabschlusses im Juni 2006 anzunehmen. Der Versicherte sei danach in der Lage gewesen, eine anspruchsvolle berufliche Weiterbildung zu absolvieren und als Zweitbester von 20 bis 25 Kandidaten abzuschliessen. In der Folge habe er während Jahren in einem Vollzeitpensum gearbeitet (37.5 Stunden pro Woche). Für die Dauer der stationären Behandlungen vom 9. März bis 20. April 2010 und vom 13. November bis 25. Dezember 2012 sei vorübergehend eine erneute 100%ige Arbeitsunfähigkeit zu bescheinigen, dies allerdings nicht mit spezifischen neurologischen Faktoren, sondern aufgrund der wegen des Burnouts erforderlichen Hospitalisationen. Dazwischen und im Anschluss an die stationären Behandlungen sei aus neurologischer Sicht eine vollschichtige Arbeitsfähigkeit ohne Leistungseinschränkung zu bescheinigen. Die angestammten Tätigkeiten seien leidensangepasst. Es ergäben sich keine davon abweichenden Einschätzungen in einer anderweitig angepassten Tätigkeit. Grundsätzlich sei bei der nach wie vor beklagten Tagesmüdigkeit der Ausschluss eines Schlafapnoesyndroms empfehlenswert. In der aufgehobenen Verfügung sei eine Arbeitsunfähigkeit von 100 % seit dem 16. Oktober bis 8. November 2005 konstatiert worden. Die Dauer dieser Arbeitsunfähigkeitsperiode sei für eine längere Zeitspanne anzunehmen. Eine Dauer von acht Monaten für die Funktionserholung nach der erlittenen intrakraniellen Blutung und durchgeführten neurologischen Operation sei plausibel. Die Dauer der 100%igen Arbeitsunfähigkeit sei vom 16. Oktober 2005 bis spätestens 30. Juni 2006 anzunehmen. Die in der aufgehobenen Verfügung genannten Phasen der 100%igen Arbeitsunfähigkeit vom 9. März bis 20. April 2010 sowie vom 18. Oktober bis 25. Dezember 2012 seien zu bestätigen. Die retrospektive Beurteilung des Verlaufs des Gesundheitszustands stütze sich auf die Aktenlage sowie wesentliche anamnestisch erhobene Daten. Davon abgesehen, dass sich die Rehabilitationsdauer nach der intrakraniellen Blutung über einen grösseren Zeitpunkt als in der Verfügung angenommen erstrecke, ergäben sich keine Veränderungen.</w:t>
      </w:r>
    </w:p>
    <w:p>
      <w:r>
        <w:rPr>
          <w:b/>
        </w:rPr>
        <w:t>E. 5.1.4</w:t>
      </w:r>
    </w:p>
    <w:p>
      <w:r>
        <w:t>Im Rahmen der polydisziplinären, von allen Experten elektronisch visierten Beurteilung (act. 113) wurden die von Dr. med. H._______ aufgelisteten Diagnosen wiederholt und weiter ausgeführt, im Anschluss an das erlittene rechtshemisphärische Subduralhämatom und die durchgeführte neurochirurgische Behandlung bestehe retrospektiv eine 100%ige Arbeitsunfähigkeit ab 15. Oktober 2005. Arbiträr sei eine wieder hergestellte vollschichtige Arbeitsfähigkeit ab dem Zeitpunkt des vom Versicherten genannten neurologischen Behandlungsabschlusses im Juni 2006 anzunehmen. Für die Dauer der stationären Behandlungen vom 9. März bis 20. April 2010 sowie vom 13. November bis 25. Dezember 2012 sei vorübergehend eine erneute 100%ige Arbeitsunfähigkeit zu bescheinigen, dies allerdings nicht mit spezifisch neurologischen Faktoren, sondern aufgrund der wegen des Burnouts erforderlichen Hospitalisationen. Dazwischen und im Anschluss an die stationären Behandlungen sei aus neurologischer Sicht eine vollschichtige Arbeitsfähigkeit ohne Leistungseinschränkung zu bescheinigen. Gestützt auf die Aktenlage betreffe das Profil der zumutbaren Arbeitstätigkeit sämtliche Tätigkeiten ohne Nachtschicht. Die angestammten Tätigkeiten seien leidensangepasst. Es ergäben sich keine davon abweichenden Einschätzungen in einer anderweitig angepassten Tätigkeit.</w:t>
      </w:r>
    </w:p>
    <w:p>
      <w:r>
        <w:rPr>
          <w:b/>
        </w:rPr>
        <w:t>E. 5.1.5</w:t>
      </w:r>
    </w:p>
    <w:p>
      <w:r>
        <w:t>In ihrer Stellungnahme vom 18. Februar 2019 (act. 147) setzten sich die Dres. med. I._______ und J._______ vom IV-internen medizinischen Dienst mit den Teilgutachten bzw. der polydisziplinären Expertise der E._______ auseinander. Die diversen 100%igen Arbeitsunfähigkeiten gaben die beiden Ärzte wie folgt an: 15. Oktober bis und mit 8. November 2005, 9. März bis und mit 20. April 2010, 13. November bis und mit 25. Dezember 2012. Weiter führten sie aus, die Experten berücksichtigten eine vollständige Arbeitsunfähigkeit während den Perioden, in denen der Versicherte hospitalisiert gewesen sei. Sie schätzten, dass keine Diagnostik mit dauerhafter Auswirkung auf die Arbeitsfähigkeit existiere und der Versicherte bis auf die Zeit während den Hospitalisationen vollständig arbeitsfähig gewesen sei.</w:t>
      </w:r>
    </w:p>
    <w:p>
      <w:r>
        <w:rPr>
          <w:b/>
        </w:rPr>
        <w:t>E. 5.2</w:t>
      </w:r>
    </w:p>
    <w:p>
      <w:r>
        <w:t>Das polydisziplinäre Gutachten vom 15. Oktober 2018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Ebenso steht es mit den entsprechenden Teilgutachten von Dr. med. F._______ vom 11. September 2018, Dr. med. G._______ vom 13. September 2018 und Dr. med. H._______ vom 2. Oktober 2018 in Übereinstimmung. Zudem ist es in der Darlegung der medizinischen Zusammenhänge und in der Beurteilung der medizinischen Situation für die hier interessierenden Fragen einleuchtend und in den Schlussfolgerungen begründet, so dass darauf abgestellt werden kann. Obwohl retrospektive Beurteilungen der Arbeits(un)fähigkeit - wie vorliegend - schwierig sind und deshalb entsprechende Begutachtungen erhöhten Ansprüchen genügen müssen (vgl. Urteil des BVGer C-8902/2010 vom 14. März 2013 E. 5.2.1 mit Hinweisen), erweisen sich der medizinische Sachverhalt und dessen Auswirkungen auf die Arbeits- und Leistungsfähigkeit im vorliegenden Fall als rechtsgenüglich abgeklärt (vgl. BGE 125 V 353 E. 3b/bb; vgl. zum Ganzen auch E. 2.7 hiervor). Bei dieser Sachlage kann auf weitere diesbezügliche Abklärungen verzichtet werden (vgl. zur antizipierten Beweiswürdigung vgl. BGE 136 I 229 E. 5.3; vgl. auch BGE 122 V 157 E. 1d; SVR 2005 IV Nr. 8 S. 37 E. 6.2, 2003 AHV Nr. 4 S. 11 E. 4.2.1; vgl. zum Ganzen Urteil des BGer 8C_189/2008 vom 4. Juli 2008 E. 5 mit Hinweisen), zumal auch die wesentlichen Fragen rechtsprechungsgemäss anhand eines strukturierten normativen Prüfungsrasters (BGE 143 V 418 E. 7 und BGE 141 V 281 E. 4.1) beantwortet wurden.</w:t>
      </w:r>
    </w:p>
    <w:p>
      <w:r>
        <w:rPr>
          <w:b/>
        </w:rPr>
        <w:t>E. 5.2.1</w:t>
      </w:r>
    </w:p>
    <w:p>
      <w:r>
        <w:t>Bezüglich der Stellungnahme im Sinne von Art. 59 Abs. 2bis IVG der Dres. med. I._______ und J._______ vom 18. Februar 2019 ist weiter festzuhalten, dass diese grundsätzlich auch schlüssig und beweiskräftig ist, zumal diesen beiden Fachärzten ein lückenloser Befund vorgelegen hatte und es bei ihrer Beurteilung im Wesentlichen bloss um die fachärztliche Beurteilung eines an sich feststehenden medizinischen Sachverhalts gegangen war (vgl. E. 2.7 letzter Absatz hiervor), wie er im polydisziplinären E._______-Gutachten erstellt worden war. Jedoch ist diese Beurteilung der Dres. med. I._______ und J._______ im Hinblick auf die attestierten Arbeitsunfähigkeitsperioden teilweise in Zweifel zu ziehen ist. Entgegen deren Auffassung, wonach der Beschwerdeführer vom 15. Oktober bis und mit 8. November 2005, 9. März bis und mit 20. April 2010 und vom 13. November bis und mit 25. Dezember 2012 vollständig arbeitsunfähig gewesen sei, ist gemäss dem E._______-Gutachten zu Gunsten des Beschwerdeführers davon auszugehen, dass bei diesem vom 16. Oktober 2005 bis 30. Juni 2006, 9. März bis 20. April 2010 sowie vom 18. Oktober bis 25. Dezember 2012 eine vollständige Arbeitsunfähigkeit bestanden hatte, was jedoch für den vorliegenden Fall keine Relevanz zeitigt (vgl. E. 6 hiernach).</w:t>
      </w:r>
    </w:p>
    <w:p>
      <w:r>
        <w:rPr>
          <w:b/>
        </w:rPr>
        <w:t>E. 5.2.2</w:t>
      </w:r>
    </w:p>
    <w:p>
      <w:r>
        <w:t>Mit Blick auf die vollständige Arbeitsfähigkeit zwischen den Arbeitsunfähigkeitsperioden haben die Ausführungen der Experten resp. von Dr. med. H._______, wonach die aktuelle Diagnoseauflistung zufolge Pensionierung des Versicherten ohne Unterscheidung mit/ohne Auswirkung auf die Arbeitsfähig erfolgt sei, keinen negativen Einfluss auf die Beweiskraft der E._______-Expertise. Daran vermögen auch seine Ausführungen, wonach bei der nach wie vor beklagten Tagesmüdigkeit grundsätzlich der Ausschluss eines Schlafapnoesyndroms empfehlenswert sei, nichts zu ändern. Der Grund dafür liegt insbesondere im Umstand, dass der Experte Dr. med. G._______ explizit festgehalten hatte, von aussen hätten keine Erschöpfungs- oder Ermüdungszeichen festgestellt und die Exploration habe problemlos durchgeführt werden können (act. 116 S. 10). Hinzu kommt, dass die vom Beschwerdeführer erwähnten Konzentrationsstörungen anlässlich der Begutachtung nicht hatten objektiviert werden können (act. 116 S. 11). Mit Blick auf die Tagesstruktur, die regelmässige Pflege von sozialen Kontakten, die Aktivität in mehreren Vereinen etc. ist die Beurteilung von Dr. med. G._______, wonach die Arbeitsfähigkeit aufgrund der subjektiv erlebten erhöhten Ermüdbarkeit auch in der Vergangenheit nicht oder zumindest nicht wesentlich eingeschränkt war (act. 116 S. 13 f.), nachvollziehbar. Unter diesen Umständen ist nicht zu beanstanden, dass die Gutachter nach ihrem pflichtgemässen Ermessen auf den Beizug eines Facharztes oder einer Fachärztin für Pneumologie verzichtet hatten, da es primär ihre Aufgabe ist, aufgrund der konkreten Fragestellung über die erforderlichen Untersuchungen zu befinden (vgl. hierzu BGE 139 V 349 E. 3.3; Urteil des BGer 8C_124/2008 vom 17. Oktober 2008 E.6.3.1), und sie einerseits für die fachliche Güte und die Vollständigkeit der interdisziplinär erstellten Entscheidungsgrundlage und anderseits aber auch für eine wirtschaftliche Abklärung verantwortlich sind (vgl. hierzu BGE 139 V 349 E. 3.3).</w:t>
      </w:r>
    </w:p>
    <w:p>
      <w:r>
        <w:rPr>
          <w:b/>
        </w:rPr>
        <w:t>E. 5.2.3</w:t>
      </w:r>
    </w:p>
    <w:p>
      <w:r>
        <w:t>Hinsichtlich des Arguments des Beschwerdeführers, die bis heute anhaltenden Schwierigkeiten der linken Hand seien nicht beachtet worden, ergibt sich, dass diese Umstände in der Beurteilung von Dr. med. H._______ Berücksichtigung gefunden haben, zumal dieser Facharzt diese vom Beschwerdeführer geschilderten Probleme sehr wohl explizit erwähnt (act. 115 S. 10 und 12) und beurteilt hatte. So berichtete Dr. med. H._______ im Zusammenhang mit den oberen Extremitäten von einer Kraftprüfung mit leichter Schwäche im Bereich der Fingerbeuger, der Ellbogenbeuger und -strecker links, einer Sensibilitätsprüfung mit ausgedehnter leichter Hypalgesie der linken Hand sowie von knapp mittellebhaften Muskeleigenreflexen beidseits ohne sichere Asymmetrie und von einem links leicht verlangsamten Fingertaping (act. 115 S. 19). Im Übrigen äusserte sich der Beschwerdeführer anlässlich der Begutachtung explizit darüber, dass sich Gefühl und Kraft im linken Arm weitgehend erholt hätten und die normalen alltäglichen Verrichtungen zufolge der residuellen leichten Störung des linken Arms zwar zeitweise verlangsamt, nicht aber grundsätzlich verunmöglicht seien (act. 115 S. 12). Unter diesen Umständen benannte weder der Beschwerdeführer noch ein behandelnder Facharzt wichtige Aspekte, die im Rahmen der Begutachtung unerkannt oder ungewürdigt geblieben wären und aufgrund welcher sich eine abweichende Beurteilung aufdrängen würde (vgl. hierzu SVR 2008 IV Nr. 15 S. 44 E. 2.2.1).</w:t>
      </w:r>
    </w:p>
    <w:p>
      <w:r>
        <w:rPr>
          <w:b/>
        </w:rPr>
        <w:t>E. 5.3</w:t>
      </w:r>
    </w:p>
    <w:p>
      <w:r>
        <w:t>Nach dem Dargelegten ergibt sich zusammengefasst, dass der Beschwerdeführer bloss für die Zeit vom 16. Oktober 2005 bis 30. Juni 2006, 9. März bis 20. April 2010 sowie vom 18. Oktober bis 25. Dezember 2012 vollständig arbeitsunfähig gewesen war. Darüber hinaus bestand eine vollschichtige Arbeitsfähigkeit ohne Leistungseinschränkung, wobei die angestammten Tätigkeiten leidensangepasst waren resp. sich keine davon abweichenden Einschätzungen in einer anderweitig angepassten Tätigkeit ergaben. Nachfolgend ist unter diesen Gegebenheiten der Rentenanspruch zu prüfen.</w:t>
      </w:r>
    </w:p>
    <w:p>
      <w:r>
        <w:rPr>
          <w:b/>
        </w:rPr>
        <w:t>E. 6.1</w:t>
      </w:r>
    </w:p>
    <w:p>
      <w:r>
        <w:t>Betreffend die vollständige Arbeitsunfähigkeit vom 16. Oktober 2005 bis 30. Juni 2006 ergibt sich, dass die Voraussetzungen von Art. 29 Abs. 1 Bst. a und b IVG in der von 2004 bis Ende 2007 gültig gewesenen Fassung nicht erfüllt waren (vgl. hierzu BGE 121 V 264 E. 6b/cc). Für die beiden anderen Perioden (9. März bis 20. April 2010 sowie 18. Oktober bis 25. Dezember 2012) ist weiter festzuhalten, dass diesbezüglich sämtliche Voraussetzungen von Art. 28 Abs. 1 IVG (Bst. a bis c) in der ab 1. Januar 2008 in Kraft stehenden Fassung nicht erfüllt waren, weshalb auch aus diesen Perioden mangels rentenbegründender Invalidität (Versicherungsfall Invalidenrente; vgl. hierzu BGE 137 V 417 E. 2.2.1 und 2.2.4; SVR 2007 IV Nr. 7 S. 23, I 76/05 E. 1.1; BGE 138 V 475 E. 3) kein Rentenanspruch resultieren konnte.</w:t>
      </w:r>
    </w:p>
    <w:p>
      <w:r>
        <w:rPr>
          <w:b/>
        </w:rPr>
        <w:t>E. 6.2</w:t>
      </w:r>
    </w:p>
    <w:p>
      <w:r>
        <w:t>Unter diesen Umständen erübrigt sich grundsätzlich die Bemessung der Invalidität. Doch selbst wenn davon ausgegangen würde, dass der Beschwerdeführer zufolge seiner geklagten Schwierigkeiten mit der linken Hand sowie der beklagten Tagesmüdigkeit zu 30 % - was eindeutig zu hoch erscheint - in seiner Arbeits- und Leistungsfähigkeit eingeschränkt wäre, würde selbst daraus ein rentenausschliessender Invaliditätsgrad resultieren. Diesfalls wäre das ohne Invalidität erzielbare hypothetische Erwerbseinkommen mit 100 % zu bewerten, während das Invalideneinkommen auf 70 % zu veranschlagen wäre, was einen Invaliditätsgrad von lediglich 30 % zur Folge hätte (zum Verzicht auf einen bezifferten Einkommensvergleich vgl. bspw. Entscheid I 816/05 des EVG vom 7. Juni 2006, E. 4.3 mit Hinweisen; zur Zulässigkeit des Prozentvergleichs siehe auch Urteil des BGer 9C_785/2009 vom 2. Dezember 2009 E. 2.2 mit Hinweisen auf BGE 114 V 310 E. 3a; 104 V 135 E. 2b).</w:t>
      </w:r>
    </w:p>
    <w:p>
      <w:r>
        <w:rPr>
          <w:b/>
        </w:rPr>
        <w:t>E. 6.3</w:t>
      </w:r>
    </w:p>
    <w:p>
      <w:r>
        <w:t>In Anwendung der formellen Karenzfrist von Art. 29 Abs. 1 IVG (vgl. hierzu BGE 142 V 547 E. 3.2) in der seit 1. Januar 2008 geltenden und vorliegend anwendbaren Fassung, wonach der Rentenanspruch frühestens nach Ablauf von sechs Monaten nach Geltendmachung des Leistungsanspruchs nach Art. 29 Abs. 1 ATSG, jedoch frühestens im Monat, der auf die Vollendung des 18. Altersjahres folgt, entsteht, ist demnach festzuhalten, dass der Beschwerdeführer für die Zeit vom 1. August 2013 bis 31. Juli 2016 (letzter Monat vor Bezug der ordentlichen Altersrente ab 1. August 2016) keinen Anspruch auf eine Invalidenrente hat. Schliesslich sind dem Beschwerdeführer unter den gegebenen Umständen resp. durch die Nichterfüllung der Voraussetzungen des Art. 28 Abs. 1 Bst. a bis c IVG auch keine Nachteile aus der verspätet eingereichten Anmeldung vom 11. Februar 2013 entstanden. Insofern zeitigt die Rechtsänderung, wonach - im Gegensatz zur bis 31. Dezember 2007 gültig gewesenen Regelung - eine Anspruchswahrung im Sinne von aArt. 48 Abs. 2 IVG (Ausrichtung der Rentenleistungen in Abweichung von Art. 24 Abs. 1 ATSG lediglich [höchstens] für die zwölf der Anmeldung vorangehenden Monate; im Zuge der 5. IV-Revision gestrichen) nicht mehr möglich ist (Ulrich Meyer/Marco Reichmuth, Rechtsprechung des Bundesgerichts zum Sozialversicherungsrecht, Bundesgesetz über die Invalidenversicherung, 3. Aufl. Zürich/Basel/Genf 2014, Art. 29 Rz 2), für den Beschwerdeführer keinerlei Relevanz.</w:t>
      </w:r>
    </w:p>
    <w:p>
      <w:r>
        <w:rPr>
          <w:b/>
        </w:rPr>
        <w:t>E. 7</w:t>
      </w:r>
    </w:p>
    <w:p>
      <w:r>
        <w:t>Aufgrund der vorstehenden Erwägungen ist zusammenfassend festzuhalten, dass sich die angefochtene Verfügung der Vorinstanz vom 3. Mai 2019 als rechtens erweist, weshalb die dagegen erhobene Beschwerde vom 18. Juni 2019 (Posteingang: 24. Juni 2019) als unbegründet abzuweisen ist.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Verweigerung von IV-Leistungen vor dem Bundesverwaltungsgericht kostenpflichtig. Entsprechend dem Ausgang des Verfahrens hat der Beschwerdeführer die Verfahrenskosten zu tragen (Art. 63 Abs. 1 VwVG). Diese sind auf Fr. 800.- festzusetzen. Der einbezahlte Kostenvorschuss in gleicher Höhe ist zur Bezahlung der Verfahrenskosten zu verwenden.</w:t>
      </w:r>
    </w:p>
    <w:p>
      <w:r>
        <w:rPr>
          <w:b/>
        </w:rPr>
        <w:t>E. 8.2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als Bundesbehörde (BGE 127 V 205 E. 4) hat ebenfalls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