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C-3181/2006 vom 18. September 2007</w:t>
      </w:r>
    </w:p>
    <w:p>
      <w:r>
        <w:t>Bundesverwaltungsgericht, 2007-09-18, DE</w:t>
      </w:r>
    </w:p>
    <w:p>
      <w:r>
        <w:rPr>
          <w:b/>
        </w:rPr>
        <w:t xml:space="preserve">Quelle: </w:t>
      </w:r>
      <w:r>
        <w:t>https://mcp.opencaselaw.ch/entscheid/bvger_C-3181_2006</w:t>
      </w:r>
    </w:p>
    <w:p>
      <w:r>
        <w:t>FR: TAF C-3181/2006 du 18 septembre 2007</w:t>
      </w:r>
    </w:p>
    <w:p>
      <w:r>
        <w:t>IT: TAF C-3181/2006 del 18 settembre 2007</w:t>
      </w:r>
    </w:p>
    <w:p>
      <w:pPr>
        <w:pStyle w:val="Heading2"/>
      </w:pPr>
      <w:r>
        <w:t>Regeste</w:t>
      </w:r>
    </w:p>
    <w:p>
      <w:r>
        <w:t>Zuständigkeit SUVA</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1.2</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1.3</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a dieser Bestimmung beurteilt das Bundesverwaltungsgericht - in Abweichung von Art. 58 Abs. 1 ATSG - Beschwerden gegen Einspracheentscheide über die Zuständigkeit der SUVA zur Versicherung der Arbeitnehmenden eines Betriebes. Die Zuständigkeit des Bundesverwaltungsgerichts zur Beurteilung der vorliegenden Streitsache ist deshalb zu bejahen, richtet sich die Beschwerde doch gegen einen Einspracheentscheid über die Zuständigkeit der SUVA im genannten Sinn.</w:t>
      </w:r>
    </w:p>
    <w:p>
      <w:r>
        <w:rPr>
          <w:b/>
        </w:rPr>
        <w:t>E. 2</w:t>
      </w:r>
    </w:p>
    <w:p>
      <w:r>
        <w:t>Das Verfahren vor dem Bundesverwaltungsgericht (wie schon vor der Rekurskommission UV) richtet sich nach dem Verwaltungsverfahrensgesetz, soweit das Verwaltungsgerichtsgesetz nichts anderes bestimmt (Art. 37 VGG; aArt. 109 Abs. 2 UVG).</w:t>
      </w:r>
    </w:p>
    <w:p>
      <w:r>
        <w:rPr>
          <w:b/>
        </w:rPr>
        <w:t>E. 2.1</w:t>
      </w:r>
    </w:p>
    <w:p>
      <w:r>
        <w:t>Die Beschwerde wurde frist- und formgerecht eingereicht (vgl. Art. 49 ff. VwVG), hielt doch die Beschwerdeführerin, nach Erlass der von ihr im Rechtsverweigerungsverfahren vor der Rekurskommission beantragten Entscheidung, in inhaltlicher Sicht an ihrem Antrag fest, sie sei aus dem Versicherungsobligatorium zu entlassen.</w:t>
      </w:r>
    </w:p>
    <w:p>
      <w:r>
        <w:rPr>
          <w:b/>
        </w:rPr>
        <w:t>E. 2.2</w:t>
      </w:r>
    </w:p>
    <w:p>
      <w:r>
        <w:t>Als von der Unterstellung unter die SUVA direkt betroffener Betrieb hat die Beschwerdeführerin ein schützenswertes Interesse an der Aufhebung oder Abänderung des angefochtenen Einspracheentscheids. Sie ist auch formell beschwert und somit zur Beschwerde legitimiert (Art. 48 Abs. 1 VwVG).</w:t>
      </w:r>
    </w:p>
    <w:p>
      <w:r>
        <w:rPr>
          <w:b/>
        </w:rPr>
        <w:t>E. 2.3</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muss aber nur den Entscheid der unteren Instanz überprüfen, es darf sich nicht an deren Stelle setzen. Insbesondere dann, wenn die Ermessensausübung, die Anwendung unbestimmter Rechtsbegriffe oder die Sachverhaltswürdigung hoch stehende, spezialisierte technische oder wissenschaftliche Kenntnisse erfordert, ist eine Zurückhaltung des Bundesverwaltungsgerichts bei der Überprüfung vorinstanzlicher Bewertungen angezeigt (vgl. BGE 133 II 35 E. 3.3, 130 II 449 E. 4.1, 126 II 43 E. 4c, 121 II 384 E. 1, 108 V 130 E. 4c/dd; vgl. auch Verwaltungspraxis der Bundesbehörden [VPB] 67.31 E. 2, 68.133 E. 2.4; Sozialversicherungsrecht - Rechtsprechung [SVR] 1994 KV Nr. 3 E. 3b; Beatrice Wagner Pfeiffer, Zum Verhältnis von fachtechnischer Beurteilung und rechtlicher Würdigung im Verwaltungsverfahren, in: ZSR, NF 116, I. Halbbd., S. 442 f.).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hiernach: Rechtsprechung UVG, S. 348).</w:t>
      </w:r>
    </w:p>
    <w:p>
      <w:r>
        <w:rPr>
          <w:b/>
        </w:rPr>
        <w:t>E. 3</w:t>
      </w:r>
    </w:p>
    <w:p>
      <w:r>
        <w:t>Streitig und im vorliegenden Verfahren zu prüfen ist, ob die SUVA zu Recht verfügt hat, dass der Beschwerde führende Betrieb in ihren Tätigkeitsbereich fällt und demzufolge seine Beschäftigten obligatorisch bei der SUVA gegen Unfall zu versichern sind.</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UVG, S. 307).</w:t>
      </w:r>
    </w:p>
    <w:p>
      <w:r>
        <w:rPr>
          <w:b/>
        </w:rPr>
        <w:t>E. 3.1.1</w:t>
      </w:r>
    </w:p>
    <w:p>
      <w:r>
        <w:t>Nach der Rechtsprechung des Eidgenössischen Versicherungsgerichts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Rekurskommission UV vom 18. Juli 2003, VPB 68.39; Alfred Maurer, Bundessozialversicherungsrecht, Basel 1993, S. 329).</w:t>
      </w:r>
    </w:p>
    <w:p>
      <w:r>
        <w:rPr>
          <w:b/>
        </w:rPr>
        <w:t>E. 3.1.2</w:t>
      </w:r>
    </w:p>
    <w:p>
      <w:r>
        <w:t>Vorliegend sind diese Voraussetzungen erfüllt: Gemäss dem Handelsregistereintrag befasst sich die Beschwerdeführerin mit dem Import von und dem Handel mit Brenn- und Treibstoffen, technischen Oelen, Fetten und Schmiermitteln, der Lagerhaltung, dem Betrieb eines Tankstellennetzes, der Beteiligung an gleichartigen oder artverwandten Unternehmen, der Verwertung von Markenrechten, der Planung, Erstellung, Revision und Reinigung von Tankanlagen, sowie der Durchführung von Brennerservice und Entkalkung. Daraus ist grundsätzlich zu schliessen, dass keine der durch die Beschwerdeführerin ausgeübten Tätigkeiten untypisch für einen Betrieb ihrer Art wäre. Die von ihr effektiv ausgeführten Arbeiten (Administration im Zusammenhang mit dem oben genannten Betriebszweck und Betrieb eines Tankstellenshops) sind jedenfalls als zusammenhängende Tätigkeiten zu betrachten, womit die Beschwerdeführerin einen einheitlichen Charakter aufweist. In diesem Zusammenhang ist darauf hinzuweisen, dass das Eidgenössische Versicherungsgericht das Vorliegen eines ungegliederten Betriebes bei einem Tankstellenshop, dessen Personal den Verkauf von Waren des allgemeinen Lebensbedarfs und die Tankstelle zu betreuen hatte, bejaht hat; zwischen Shop und Tankstelle bestehe bei diesem Betriebstyp ein enger Zusammenhang, indem sich die angebotenen Dienstleistungen gegenseitig vervollständigten (RKUV 1999 Nr. U 338 S. 285 E. 4). Dies wurde im Übrigen bei einem Sachverhalt so entschieden, bei dem der Zweck des Unternehmens noch viel mehr durch den Verkauf von Waren charakterisiert war und der Handel mit Brenn und Treibstoffen bzw. der Betrieb eines Tankstellennetzes nicht - wie im vorliegenden Fall - im Betriebszweck enthalten war. Ohne Bedeutung ist, dass das Verkaufspersonal des Shops nicht direkt die technische Wartung der Tankstelle übernimmt, sondern lediglich das Inkasso für die Benzinbezüge vornimmt (vgl. dazu Urteil der Rekurskommission UV vom 4. Juli 1997, REKU 275/96, E. 4). Wie das Eidgenössische Versicherungsgericht festgestellt hat, ergibt sich aus der bei Tankstellenshops beabsichtigten Einheit der Tätigkeit zwangsläufig, dass die Arbeitnehmer, wenn auch wegen der Selbstbedienung durch die Kunden nur in Ausnahmefällen, mit den feuer- und explosionsgefährlichen Treibstoffen in Kontakt kommen. Es sei eine wesentliche Aufgabe des Personals, für einen reibungslosen Ablauf des Benzinverkaufs besorgt zu sein. Ein Gefährdungspotential sei dieser Arbeit inhärent (RKUV 1999 Nr. U 338 S. 285 E. 4). Es handelt sich somit bei der Beschwerdeführerin zweifellos um einen ungegliederten Betrieb.</w:t>
      </w:r>
    </w:p>
    <w:p>
      <w:r>
        <w:rPr>
          <w:b/>
        </w:rPr>
        <w:t>E. 3.2</w:t>
      </w:r>
    </w:p>
    <w:p>
      <w:r>
        <w:t>Weiter bleibt zu prüfen, ob eines der Unterstellungsmerkmale gemäss Art. 66 Abs. 1 UVG gegeben ist.</w:t>
      </w:r>
    </w:p>
    <w:p>
      <w:r>
        <w:rPr>
          <w:b/>
        </w:rPr>
        <w:t>E. 3.2.1</w:t>
      </w:r>
    </w:p>
    <w:p>
      <w:r>
        <w:t>Im vorliegenden Fall steht die Anwendung von Art. 66 Abs. 1 Bst. f UVG in Verbindung mit Art. 77 Bst. a UVV in Frage. Diese Bestimmungen haben folgenden Wortlaut: Art. 66 UVG (Tätigkeitsbereich) Bei der SUVA sind die Arbeitnehmer folgender Betriebe und Verwaltungen obligatorisch versichert: (...) f. Betriebe, in denen feuer- oder explosionsgefährliche Stoffe oder Stoffe, die Berufskrankheiten hervorrufen können (Art. 9 Abs. 1) erzeugt, im Grossen verwendet oder im Grossen gelagert werden; Art. 77 UVV (Betriebe zur Erzeugung, Verwendung und Lagerung gefährlicher Stoffe) Als Betriebe im Sinne von Artikel 66 Absatz 1 Buchstabe f des Gesetzes, in denen gefährliche Stoffe erzeugt, im Grossen verwendet oder gelagert werden, gelten: a. Betriebe, die Grund- und Feinchemikalien, chemischtechnische Produkte, Lacke und Farben sowie feuer- und explosionsgefährliche Stoffe herstellen, im Grossen verwenden, lagern oder transportieren; (...)</w:t>
      </w:r>
    </w:p>
    <w:p>
      <w:r>
        <w:rPr>
          <w:b/>
        </w:rPr>
        <w:t>E. 3.2.2</w:t>
      </w:r>
    </w:p>
    <w:p>
      <w:r>
        <w:t>Treibstoff ist unbestreitbar ein feuer- und explosionsgefährlicher Stoff. Die Unterstellung unter die SUVA erfolgt jedoch gemäss Art. 66 Abs. 1 Bst. f UVG nur, wenn solche Stoffe "im Grossen" verwendet oder gelagert werden. Weder das Gesetz noch die Verordnung präzisieren die Menge, die es braucht, damit eine Lagerung oder Verwendung "im Grossen" gegeben ist. Demgegenüber wird beispielsweise der Unterstellungstatbestand von Art. 66 Abs. 1 Bst. h UVG, betreffend Handelsbetriebe, die mit Hilfe von Maschinen schwere Waren in grosser Menge lagern, durch die Ausführungsbestimmung (Art. 79 Abs. 2 UVV) konkretisiert: als grosse Menge gilt ein Gesamtgewicht von mindestens 20 Tonnen ständig gelagerter schwerer Ware. Für den vorliegenden Fall kann jedenfalls festgestellt werden, dass eine Tankstelle über solche Mengen an Treibstoff verfügen muss, welche dieses Kriterium zweifellos erfüllt (vgl. dazu Urteil der Rekurskommission UV vom 4. Juli 1997, REKU 275/96, E.6). Weiter ist festzuhalten, dass der Ausdruck "verwenden" den Warenumschlag in all seinen Erscheinungsformen und auch den Wiederverkauf der betreffenden Substanz in unverändertem Zustand umfasst (vgl. unveröffentlichter Entscheid des Bundesamtes für Sozialversicherung vom 16. Dezember 1991 i.S. P. B.), wobei der Warenumschlag durch eine Selbstbedienungsanlage auch unter den Begriff Verkauf fallen muss. Das Gesetz schränkt nämlich das "Verwenden" nicht in der Hinsicht ein, als dies durch das Personal direkt selbst vorgenommen werden müsste, womit auch die Zuhilfenahme von technischen Hilfsmitteln (wie z.B. einer automatischen Abfüllanlage) in diesem Begriff enthalten ist (vgl. dazu Urteil der Rekurskommission UV vom 4. Juli 1997, REKU 275/96, E.7).</w:t>
      </w:r>
    </w:p>
    <w:p>
      <w:r>
        <w:rPr>
          <w:b/>
        </w:rPr>
        <w:t>E. 3.2.3</w:t>
      </w:r>
    </w:p>
    <w:p>
      <w:r>
        <w:t>Abschliessend ist die Beschwerdeführerin darauf hinzuweisen, dass es nur für die Beurteilung der Frage, ob eine bestimmte Tätigkeit für eine Betriebsart allgemein branchenüblich ist und somit, ob überhaupt ein ungegliederter Betrieb vorliegt, auf den überwiegenden Betriebscharakter des konkreten Unternehmens ankommt. Steht indessen einmal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(BGE 113 V 327 E. 7a). Bei ungegliederten Betrieben spielt das Ausmass einzelner für die Unterstellung nach Art. 66 UVG ausschlaggebender Tätigkeiten keine Rolle, weil die verschiedenen Arbeitsgattungen in diesem Fall begriffsnotwendig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 erfasst. Massgebend für die Erfüllung des Unterstellungskriteriums ist bei einem solchen Betrieb daher nur, dass dieser eine Tätigkeit im Sinne des Art. 66 Abs. 1 UVG ausübt, nicht jedoch, dass diese Tätigkeit den überwiegenden Anteil an der Gesamttätigkeit ausmacht (RKUV 2004 Nr. U 498 S. 159 E. 6.1 mit Hinweisen; vgl. auch RKUV 2005 Nr. U 534 S. 44 E. 5.2; Urteil des Bundesgerichts U 412/06 vom 26. Januar 2007, E. 4.2).</w:t>
      </w:r>
    </w:p>
    <w:p>
      <w:r>
        <w:rPr>
          <w:b/>
        </w:rPr>
        <w:t>E. 3.2.4</w:t>
      </w:r>
    </w:p>
    <w:p>
      <w:r>
        <w:t>Die Beschwerdeführerin ist demnach ein Betrieb, der im Rahmen seiner Tätigkeit mit seinem Personal, wenn auch bloss in eingeschränkter Art und Weise, mit der Lagerung und dem Verkauf von Benzin zu tun hat. Dass dies der Fall ist, geht offensichtlich aus dem Betriebszweck sowie aus der Beschäftigung ihres Personals auf dem Areal der Tankstelle hervor. Daher ist zu bestätigen, dass die Beschwerdeführerin als ungegliederter Betrieb im Sinne von Art. 66 Abs. 1 Bst. f UVG dem Versicherungsobligatorium der SUVA unterstellt ist.</w:t>
      </w:r>
    </w:p>
    <w:p>
      <w:r>
        <w:rPr>
          <w:b/>
        </w:rPr>
        <w:t>E. 3.3</w:t>
      </w:r>
    </w:p>
    <w:p>
      <w:r>
        <w:t>An diesem Ergebnis vermag auch die Rüge, andere Kioskinhaber könnten ihr Personal bei der Privatassekuranz versichern, nichts zu ändern. Der Anspruch auf Rechtsgleichheit gebietet, Gleiches nach Massgabe der Gleichheit gleich und Ungleiches nach Massgabe der Ungleichheit ungleich zu behandeln. Das Rechtsgleichheitsgebot (Art. 8 Abs. 1 der Bundesverfassung der Schweizerischen Eidgenossenschaft vom 18. April 1999 [BV], SR 101) wird insbesondere verletzt, wenn gleiche Sachverhalte ohne sachliche Gründe ungleich behandelt werden (BGE 127 I 202 E. 3f/aa; vgl. auch BGE 133 V 42 E. 3.1). Wie sich aus den vorstehenden Erwägungen ergibt, kann die Annahme der Beschwerdeführerin, dass es im Hinblick auf eine Versicherungsunterstellung nicht darauf ankomme, ob das Personal Esswaren oder Benzin verkaufe, nicht zutreffen. Das massgebende Unterscheidungskriterium ist bereits durch das Gesetz vorgegeben (zur Massgeblichkeit von Bundesgesetzen vgl. Art. 190 BV) und zweifellos sachlich gerechtfertigt. Eine Verletzung der Rechtsgleichheit liegt somit nicht vor.</w:t>
      </w:r>
    </w:p>
    <w:p>
      <w:r>
        <w:rPr>
          <w:b/>
        </w:rPr>
        <w:t>E. 3.4</w:t>
      </w:r>
    </w:p>
    <w:p>
      <w:r>
        <w:t>Aus diesen Gründen ist die Beschwerde betreffend die verfügte Unterstellung unter die SUVA abzuweisen und der angefochtene Einspracheentscheid zu bestätigen.</w:t>
      </w:r>
    </w:p>
    <w:p>
      <w:r>
        <w:rPr>
          <w:b/>
        </w:rPr>
        <w:t>E. 4.1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Die Verfahrenskosten sind vorliegend auf Fr. 2'000.-- festzulegen.</w:t>
      </w:r>
    </w:p>
    <w:p>
      <w:r>
        <w:rPr>
          <w:b/>
        </w:rPr>
        <w:t>E. 4.2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