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C-3172/2008 vom 13. Oktober 2010</w:t>
      </w:r>
    </w:p>
    <w:p>
      <w:r>
        <w:t>Bundesverwaltungsgericht, 2010-10-13, DE</w:t>
      </w:r>
    </w:p>
    <w:p>
      <w:r>
        <w:rPr>
          <w:b/>
        </w:rPr>
        <w:t xml:space="preserve">Quelle: </w:t>
      </w:r>
      <w:r>
        <w:t>https://mcp.opencaselaw.ch/entscheid/bvger_C-3172_2008</w:t>
      </w:r>
    </w:p>
    <w:p>
      <w:r>
        <w:t>FR: TAF C-3172/2008 du 13 octobre 2010</w:t>
      </w:r>
    </w:p>
    <w:p>
      <w:r>
        <w:t>IT: TAF C-3172/2008 del 13 ottobre 2010</w:t>
      </w:r>
    </w:p>
    <w:p>
      <w:pPr>
        <w:pStyle w:val="Heading2"/>
      </w:pPr>
      <w:r>
        <w:t>Regeste</w:t>
      </w:r>
    </w:p>
    <w:p>
      <w:r>
        <w:t>Invalidenversicherung (IV)</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1.1</w:t>
      </w:r>
    </w:p>
    <w:p>
      <w:r>
        <w:t>Gemäss Art. 31 VGG beurteilt das Bundesverwaltungsgericht Beschwerden gegen Verfügungen nach Art. 5 VwVG. Zu den anfechtbaren Verfügungen gehören jene der IVSTA, die eine Vorinstanz des Bundesverwaltungsgerichts darstellt (Art. 33 Bst. d VGG; vgl. auch Art. 69 Abs. 1 Bst. b IVG). Eine Ausnahme, was das Sachgebiet angeht, ist in casu nicht gegeben (Art. 32 VGG).</w:t>
      </w:r>
    </w:p>
    <w:p>
      <w:r>
        <w:rPr>
          <w:b/>
        </w:rPr>
        <w:t>E. 1.2</w:t>
      </w:r>
    </w:p>
    <w:p>
      <w:r>
        <w:t>Die Beschwerde ist frist- und formgerecht eingereicht worden (vgl. Art. 38 ff. und Art. 60 ATSG sowie Art. 52 VwVG). Als Adressat ist der Beschwerdeführer durch die angefochtenen Verfügung berührt und hat an deren Aufhebung oder Änderung ein schutzwürdiges Interesse (vgl. Art. 59 ATSG). Nachdem auch der Kostenvorschuss fristgerecht geleistet worden ist, kann auf die Beschwerde eingetreten werden.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Anfechtungsobjekt bildet die Verfügung der Vorinstanz vom 14. April 2008, mit welcher der Anspruch des Beschwerdeführers auf eine IV-Rente abgewiesen wurde. Streitig und zu prüfen ist der Rentenanspruch und in diesem Zusammenhang insbesondere, ob die Vorinstanz den Sachverhalt rechtsgenüglich abgeklärt und gewürdigt hat.</w:t>
      </w:r>
    </w:p>
    <w:p>
      <w:r>
        <w:rPr>
          <w:b/>
        </w:rPr>
        <w:t>E. 2</w:t>
      </w:r>
    </w:p>
    <w:p>
      <w:r>
        <w:t>Im Folgenden sind vorab die im vorliegenden Verfahren anwendbaren Normen und Rechtsgrundsätze darzustellen.</w:t>
      </w:r>
    </w:p>
    <w:p>
      <w:r>
        <w:rPr>
          <w:b/>
        </w:rPr>
        <w:t>E. 2.1</w:t>
      </w:r>
    </w:p>
    <w:p>
      <w:r>
        <w:t>Der Beschwerdeführer ist Staatsangehöriger von Bosnien und Herzegowina und hat dort seinen Wohnsitz.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(vgl. BGE 126 V 198 E. 2b, BGE 122 V 381 E. 1, BGE 119 V 98 E. 3). Nach Art. 2 des Abkommens stehen die Staatsangehörigen der Vertragsstaaten in ihren Rechten und Pflichten aus den in Art. 1 des Abkommens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aufgrund der schweizerischen Rechtsvorschriften.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BGE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zu beachten ist (vgl. Urteil des Bundesgerichts [im Folgenden: BGer] 8C_373/2008 vom 28. August 2008 Erw.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(so auch das Rundschreiben Nr. 253 des Bundesamtes für Sozialversicherungen vom 12. Dezember 2007 [5. IV-Revision und Intertemporalrecht]). Danach entsteht der Rentenanspruch frühestens ein Jahr nach Eintritt des Versicherungsfalls, wobei die Renten nur für die Zeit ab 12 Monaten vor der Anmeldung geleitet werden - abgesehen von einer Ausnahme, die vorliegend ohne Belang ist. (Art. 29 Abs. 1 Bst. b und Art. 48 Abs. 2 IVG in der Fassung der 4. IV-Revision). Im vorliegenden Verfahren finden demnach grundsätzlich jene Vorschriften Anwendung, die bei Eintritt des Versicherungsfalles, spätestens jedoch bei Erlass der Verfügung vom 14. April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Da sich der Beschwerdeführer vor dem 31. Dezember 2008 angemeldet hatte, gilt hinsichtlich des Zeitpunkt des Rentenbeginns unter der Voraussetzung, dass der Versicherungsfall vor dem 1. Januar 2008 eingetreten ist, das alte Recht.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in Verbindung mit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 Person willensmässig erwartet werden kann, trotz des Leidens zu arbeiten (BGE 127 V 294 E. 5a). Diese Frage beurteilt sich nach einem weitgehend objektivierten Massstab (BGE 127 V 294 E. 4b/cc; vgl. auch Art. 7 Abs. 2 ATSG in der am 1. Januar 2008 in Kraft getretenen Fassung).</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dem 1. Januar 2007: BGer) stellt diese Regelung nicht eine blosse Auszahlungsvorschrift, sondern eine besondere Anspruchsvoraussetzung dar (BGE 121 V 275 E. 6c).</w:t>
      </w:r>
    </w:p>
    <w:p>
      <w:r>
        <w:rPr>
          <w:b/>
        </w:rPr>
        <w:t>E. 2.6</w:t>
      </w:r>
    </w:p>
    <w:p>
      <w:r>
        <w:t>Nach aArt. 48 IVG (mit Wirkung ab dem 1. Januar 2008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 abgesehen von einer Ausnahme, die vorliegend ohne Belang ist.</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(Urteile des BGer I 142/07 vom 20. November 2007 E. 3.2.3 und I 362/06 vom 10. April 2007 E. 3.2.1),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sowie I 1094/06 vom 14. November 2007 E. 3.1.1, beide mit Hinweisen).</w:t>
      </w:r>
    </w:p>
    <w:p>
      <w:r>
        <w:rPr>
          <w:b/>
        </w:rPr>
        <w:t>E. 3</w:t>
      </w:r>
    </w:p>
    <w:p>
      <w:r>
        <w:t>Die IVSTA stützte sich im Rahmen des Erlasses der angefochtenen Verfügung vom 14. April 2008 insbesondere auf die beiden Berichte des RAD-Arztes Dr. med. A._______, Facharzt für Innere Medizin, vom 15. Februar und 28. August 2008 (act. 41 und 50). Diese sind in einem ersten Schritt zu würdigen und es ist zu prüfen, ob sich aufgrund dieser Beweismittels der Sachverhalt in medizinischer Hinsicht als rechtsgenüglich abgeklärt erweist.</w:t>
      </w:r>
    </w:p>
    <w:p>
      <w:r>
        <w:rPr>
          <w:b/>
        </w:rPr>
        <w:t>E. 3.1</w:t>
      </w:r>
    </w:p>
    <w:p>
      <w:r>
        <w:t>Wie bereits dargelegt wurde (vgl. E. 2.7 hiervor), kann auf Stel-lungnahmen des RAD nur unter der Bedingung abgestellt werden, dass sie den allgemeinen beweisrechtlichen Anforderungen an einen ärztlichen Bericht genügen, und in der Regel auch nur dann, wenn die beigezogenen RAD-Ärzte über die im Einzelfall gefragten persönlichen und fachlichen Qualifikationen verfügen. Dagegen ist nach höchstrichterlicher Rechtsprechung grundsätzlich nicht erforderlich, dass die RAD-Ärzte die Versicherten persönlich untersuchen.</w:t>
      </w:r>
    </w:p>
    <w:p>
      <w:r>
        <w:rPr>
          <w:b/>
        </w:rPr>
        <w:t>E. 3.2</w:t>
      </w:r>
    </w:p>
    <w:p>
      <w:r>
        <w:t>Nach Würdigung diverser medizinischer Akten aus der Heimat des Beschwerdeführers (act. 14 bis 39) diagnostizierte der RAD-Arzt Dr. med. A._______ in seinem Bericht vom 15. Februar 2008 eine Angina pectoris (sonstige Formen; ICD-10: I20.8). Weiter führte er - gestützt auf den Bericht des Anästhesisten Dr. med. B._______ und des Neuropsychiaters Dr. med. C._______ vom 29. Mai 2006 (act. 19 und 20) - aus, beim Beschwerdeführer liege keine Arbeitsunfähigkeit vor (act. 41).</w:t>
      </w:r>
    </w:p>
    <w:p>
      <w:r>
        <w:rPr>
          <w:b/>
        </w:rPr>
        <w:t>E. 3.2.1</w:t>
      </w:r>
    </w:p>
    <w:p>
      <w:r>
        <w:t>Die Dres. med. B._______ und C._______ erwähnten in ihrem Bericht vom 29. Mai 2006 den undatierten Austrittsbericht des Spitals D._______ sowie die Stellungnahme des Internisten Dr. med. E._______ vom 22. März 2006. Diese Berichte sind aktenkundig (act. 15 bis 18) und der Würdigung durch das Bundesverwaltungsgericht zugänglich. Nicht aktenkundig ist jedoch der ebenfalls aufgelistete internistisch-kardiologische Bericht vom 28. April 2006. Dies ist zwar insofern von untergeordneter Bedeutung, als dass der Internist und Kardiologe Dr. med. F._______ in seinem Verlaufsbericht vom 22. Oktober 2007 (act. 36 und 37) im Wesentlichen dieselben Diagnosen gestellt hatte, welche von den Dres. med. B._______ und C._______ - gestützt auf den nicht aktenkundigen Bericht vom 28. April 2006 - wiedergegeben wurden. Dennoch kann im Rahmen der erforderlichen lückenlosen medizinischen Dokumentation nicht auf das Einholen dieses Berichts verzichtet werden, da durchaus die Möglichkeit besteht, dass sich der Gesundheitszustand des Beschwerdeführers und dessen Auswirkungen auf die Arbeits- und Leistungsfähigkeit vor dem 22. Oktober 2007 (Datum des Verlaufsberichts) anders präsentiert hatten.</w:t>
      </w:r>
    </w:p>
    <w:p>
      <w:r>
        <w:rPr>
          <w:b/>
        </w:rPr>
        <w:t>E. 3.2.2</w:t>
      </w:r>
    </w:p>
    <w:p>
      <w:r>
        <w:t>Dem Bericht der Dres. med. B._______ und C._______ vom 29. Mai 2006 - und damit einhergehend der Stellungnahme von Dr. med. A._______ vom 15. Februar 2008 - kann auch deshalb keine volle Beweiskraft zukommen, da sich darin bloss ein rudimentäres, nicht rechtsgenügliches Zumutbarkeits- resp. Leistungsprofil findet und keine detaillierten Ausführungen im Zusammenhang mit den noch möglichen Tätigkeiten (Art und Beschaffenheit, Sitz-, Steh- und Gehdauer, Belastungen, etc.) gemacht werden. Hinzu kommt, dass - soweit ersichtlich - weitere aktenkundige Arztberichte aus den Fachbereichen Urologie, Radiologie und Neurologie (act. 28 und 32/33) von den Dres. med. B._______ und C._______ nicht rechtsgenüglich gewürdigt wurden - was von besonderer Bedeutung ist, fallen doch die entsprechenden Beurteilungen in den Kompetenzbereich von Ärzten, welche über die nötige Fachkompetenz in diesen medizinischen Disziplinen verfügen. Mit dem Bericht von Dr. med. G._______, Facharzt für Innere Medizin, vom 14. April 2005 (act. 21 und 22), der dem Beschwerdeführer eine vollständige Arbeitsunfähigkeit attestiert hatte, setzten sich die Dres. med. B._______ und C._______ zudem nicht auseinander. Ob der Grund dafür im Umstand liegt, dass diese Ärzte keine Kenntnis vom Bericht von Dr. med. G._______ hatten, lässt sich aufgrund der Akten nicht mit überwiegender Wahrscheinlichkeit beurteilen und ist letztlich ohne Bedeutung: Entscheidend ist einzig, dass der Bericht nicht gewürdigt wurde. In diesem Zusammenhang ist auch nicht ausschlaggebend, dass der Bericht von Dr. med. F._______ nicht über alle Zweifel erhaben ist. Die Beurteilung der Arbeits- und Leistungsunfähigkeit wird darin nicht widerspruchsfrei, schlüssig und somit rechtsgenüglich begründet und es findet sich kein verlässliches, den Anforderungen der Rechtsprechung genügendes Zumutbarkeitsprofil. Dem Bericht kommt daher nur geringe Beweiskraft zu. Aus denselben Gründen, insbesondere mangels einer rechtsgenüglichen Beurteilung der Arbeits- und Leistungsfähigkeit, können auch der Bericht von Dr. med. G._______ vom 14. April 2005 (act. 21 und 22) sowie weitere Berichte aus der Heimat des Beschwerdeführers keine ausreichende Entscheidgrundlage darstellen (act. 15 bis 18, 23 bis 26, 28 bis 35, 38 und 39).</w:t>
      </w:r>
    </w:p>
    <w:p>
      <w:r>
        <w:rPr>
          <w:b/>
        </w:rPr>
        <w:t>E. 3.2.3</w:t>
      </w:r>
    </w:p>
    <w:p>
      <w:r>
        <w:t>Die Ärzte des Spitals D._______ diagnostizierten in ihrem undatierten Austrittsbericht (act. 15 und 16) ein depressives Syndrom, was von Dr. med. C._______ nicht bestätigt wurde. Als Neuropsychiater verfügt dieser Arzt zwar über die von der höchstrichterlichen Rechtsprechung geforderte Fachkompetenz und seine Feststellung, der Beschwerdeführer leide an keiner nennenswerten psychisch-psychiatrischen Erkrankung, ist an sich nachvollziehbar und schlüssig. Dennoch erweist sich der Gesundheitszustand des Beschwerdeführers diesbezüglich als nicht rechtsgenüglich abgeklärt. Mit Blick auf die Ausführungen des Beschwerdeführers vom 3. April 2008 (act. 45) ist nicht auszuschliessen, dass noch weitere, nicht aktenkundige (neuro-) psychiatrische Berichte existieren, welche nicht einverlangt oder doch nicht einer fachärztlichen Prüfung unterzogen worden sind. Derartige Berichte wären insbesondere zur Beantwortung der Frage, ob sich der gesundheitliche Zustand des Beschwerdeführers in psychischer Hinsicht seit dem 29. Mai 2006 (Datum des Berichts der Dres. med. B._______ und C._______) bis zum massgeblichen Verfügungszeitpunkt (14. April 2008) verschlechtert hat, beizuziehen gewesen. Dies wurde jedoch versäumt und die medizinische Beurteilung durch den RAD erfolgte aufgrund einer unvollständigen medizinischen Dokumentation, so dass sie den Anforderungen an ein Gutachten mit vollem Beweiswert nicht erfüllt.</w:t>
      </w:r>
    </w:p>
    <w:p>
      <w:r>
        <w:rPr>
          <w:b/>
        </w:rPr>
        <w:t>E. 3.2.4</w:t>
      </w:r>
    </w:p>
    <w:p>
      <w:r>
        <w:t>Die medizinische Aktenlage, wie sie sich dem Bundesverwaltungsgericht präsentiert und wie sie auch Grundlage für die Beurteilung durch die Vorinstanz und die Abklärungen von Dr. med. A._______ gewesen ist, erweist sich in mehrfacher Hinsicht als unvollständig. Im Bericht des bosnischen Versicherungsträgers vom 27. September 2005 (act. 46) werden offenbar zahlreiche medizinische Akten erwähnt, die sich nur zum Teil in den Akten finden (act. 21/22, 26, 30/31, 34/35 und 38/39). Mehrere medizinische Berichte und Untersuchungsresultate (etwa EEG und CT), insbesondere vom 6. Februar 2001, 21. Februar 2002, 15. April 2005 und 25. Juli 2005, liegen dagegen nicht vor. Weiter ist auf das bereits erwähnte Fehlen des internistisch-kardiologischen Berichts vom 28. April 2006 hinzuweisen (vgl. E. 3.2.1 hiervor). Im Interesse einer lückenlosen medizinischen Dokumentation wäre es Sache der Vorinstanz gewesen, diese Unterlagen beim bosnischen Versicherungsträger einzufordern. Zu beachten ist weiter, dass verschiedene Aktenstücke nur in bosnischer Sprache und teilweise in kyrillischer Schrift vorliegen (vgl. insb. act. 23 bis 29). Dies ist insoweit ohne grosse Bedeutung, als es sich dabei um schlecht bzw. nicht leserliche Kurzberichte handelt, welche - offenbar - grösstenteils nur ärztliche Medikamentenverschreibungen enthalten, die hinsichtlich der Beurteilung der Leiden der Beschwerdeführers und deren Auswirkungen auf die Arbeits- und Leistungsfähigkeit von untergeordneter Bedeutung sind (vgl. auch E. 3.2.2 hiervor). Keine Übersetzung findet sich allerdings auch vom (ohnehin nicht vollständig kopierten bzw. gescannten) Bericht des bosnischen Versicherungsträgers vom 27. September 2005 und von dessen Entscheid vom 31. Oktober 2005, die beide mit dem Vermerk "pas du traduction trouvée" versehen sind. Die Vorinstanz hat im Rahmen des Beschwerdeverfahrens das Fehlen der Übersetzung des Berichts vom 27. September 2005 eingeräumt und festgehalten, dieser sei dem RAD im Abklärungsverfahren nicht zur Verfügung gestanden. Diesen Fehler scheint die Vorinstanz korrigiert zu haben (act. 49), und es kann angenommen werden, dass dem RAD für die Berichterstattung vom 28. August 2008 eine Übersetzung vorlag. Diese befindet sich aber nach wie vor nicht in den Akten. Für das Bundesverwaltungsgericht ist es unter diesen Umständen nicht möglich, die Berichte des bosnischen Versicherungsträgers vom 27. September 2005 und des RAD vom 28. August 2008 rechtsgenüglich zu würdigen resp. die Beurteilung von Dr. med. A._______ nachzuvollziehen.</w:t>
      </w:r>
    </w:p>
    <w:p>
      <w:r>
        <w:rPr>
          <w:b/>
        </w:rPr>
        <w:t>E. 4</w:t>
      </w:r>
    </w:p>
    <w:p>
      <w:r>
        <w:t>Damit steht fest, dass aufgrund der vorliegenden medizinischen Akten nicht beurteilt werden kann, ob und allenfalls seit wann ein Rentenanspruch des Beschwerdeführers besteht. Die angefochtene Verfügung vom 14. April 2008 beruht damit auf einem unvollständig ermittelten Sachverhalt (Art. 49 Bst. b VwVG und Art. 49 ATSG), weshalb die Beschwerde vom 13. Mai 2008 in dem Sinne gutzuheissen ist, als dass die angefochtene Verfügung aufzuheben und die Sache mit der Anweisung an die Vorinstanz zurückzuweisen ist, die offenbar vorhandenen, jedoch nicht aktenkundigen ausländischen Arztberichte und Untersuchungsergebnisse einzuholen und Übersetzungen der Dokumente des bosnischen Versicherungsträgers vom 27. September und 31. Oktober 2005 zu den Akten zu nehmen. Nach Vorliegen der entsprechenden Unterlagen hat die Vorinstanz ergänzende spezialärztliche Begutachtungen in somatischer und psychisch-psychiatrischer Hinsicht durchführen zu lassen. Sollte es sich aufgrund dieser Untersuchungen ergeben, dass die Arbeits- bzw. Leistungsfähigkeit des Beschwerdeführers eingeschränkt ist, so werden im weiteren die zur Bestimmung der Invaliditätsbemessungsmethode (Art. 16 ATSG sowie Art. 28 Abs. 2bis und 2ter IVG [in der bis zum 31. Dezember 2007 gültig gewesenen Fassung] bzw. Art. 28a Abs. 2 und 3 IVG [in der seit dem 1. Januar 2008 gültigen Fassung]) sowie allenfalls des Anmeldedatums erforderlichen weiteren Abklärungen durchzuführen sein.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Der unterliegenden Vorinstanz sind keine Verfahrenskosten aufzuerlegen (Art. 63 Abs. 2 VwVG). Dem obsiegenden Beschwerdeführer ist der bereits geleistete Kostenvorschuss in der Höhe von Fr. 300.- zurückzuerstatten.</w:t>
      </w:r>
    </w:p>
    <w:p>
      <w:r>
        <w:rPr>
          <w:b/>
        </w:rPr>
        <w:t>E. 5.2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Angesichts des gebotenen und aktenkundigen Aufwands erscheint eine Parteientschädigung von Fr. 700.-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