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C-3171/2009 vom 9. Juni 2010</w:t>
      </w:r>
    </w:p>
    <w:p>
      <w:r>
        <w:t>Bundesverwaltungsgericht, 2010-06-09, FR</w:t>
      </w:r>
    </w:p>
    <w:p>
      <w:r>
        <w:rPr>
          <w:b/>
        </w:rPr>
        <w:t xml:space="preserve">Quelle: </w:t>
      </w:r>
      <w:r>
        <w:t>https://mcp.opencaselaw.ch/entscheid/bvger_C-3171_2009</w:t>
      </w:r>
    </w:p>
    <w:p>
      <w:r>
        <w:t>FR: TAF C-3171/2009 du 9 juin 2010</w:t>
      </w:r>
    </w:p>
    <w:p>
      <w:r>
        <w:t>IT: TAF C-3171/2009 del 9 giugno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et A._______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ATAF 2009/27 consid. 5).</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B._______ est soumise à l'obligation du visa.</w:t>
      </w:r>
    </w:p>
    <w:p>
      <w:r>
        <w:rPr>
          <w:b/>
        </w:rPr>
        <w:t>E. 7.1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8</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8.1</w:t>
      </w:r>
    </w:p>
    <w:p>
      <w:r>
        <w:t>A ce sujet, il ne faut pas perdre de vue que le nombre de réfugiés afghans au Pakistan est estimé à un million et demi et que le Pakistan entretient historiquement des relations difficiles avec l'Afghanistan, qui l'accuse de servir de base principale de retrait, de ravitaillement, de recrutement et d'entraînement à des groupes d'insurgés. Au demeurant, depuis la crise de la Mosquée Rouge en juillet 2007, le Pakistan connaît une dégradation significative de sa sécurité: violences terroristes, affrontements sectaires, émeutes consécutives aux pénuries, assassinats politiques, dont celui de Benazir Bhutto. La violence terroriste s'est aujourd'hui diffusée dans tout le pays. Les terroristes visent aussi bien des cibles officielles, notamment militaires, que la population civile: marchés, banques, bâtiments administratifs ouverts au public, lieux de culte, rassemblements populaires. Les attentats-suicides et attaques commando ont fait près de 1'200 morts en 2009. Sur le plan économique, le PIB annuel par habitant ne s'élevait qu'à 1'042 USD en 2007/2008 et le taux de chômage était estimé à 13,6% en 2008. Or, à la mi-2008 sont apparus des déséquilibres macroéconomiques (forte inflation, déficit de la balance courante, crise énergétique, insuffisance des investissements), aggravés par la crise économique mondiale. La croissance du PIB est ainsi tombée de 4,1% en 2007/2008 à 2% en 2008/2009 et le Pakistan, avec 5,9 milliards USD empruntés ces douze derniers mois auprès du FMI, est aujourd'hui l'un des premiers bénéficiaires de l'aide financière internationale (voir en ce sens le site internet du Ministère français des affaires étrangères &gt; France-Diplomatie &gt; Pays-zones géo &gt; Pakistan &gt; Présentation du Pakistan &gt; Présentation &gt; Géographie et Histoire; mise à jour le 8 février 2010, consulté le 19 mai 2010). Dès lors, les conditions économiques et sociales difficiles que connaît le Pakistan ne sont pas sans exercer une pression migratoire importante, en particulier sur la population jeune et étrangère, cette tendance étant encore renforcée, comme l'expérience l'a démontré, lorsque la personne concernée peut s'appuyer à l'étranger sur un réseau social (parents, amis) préexistant.</w:t>
      </w:r>
    </w:p>
    <w:p>
      <w:r>
        <w:rPr>
          <w:b/>
        </w:rPr>
        <w:t>E. 8.2</w:t>
      </w:r>
    </w:p>
    <w:p>
      <w:r>
        <w:t>Toutefois, la seule situation dans le pays de résidence ne suffit pas à conclure à l'absence de garantie quant à la sortie de Suisse à l'issue du séjour, toutes les particularités du cas d'espèce devant être prises en considération.</w:t>
      </w:r>
    </w:p>
    <w:p>
      <w:r>
        <w:rPr>
          <w:b/>
        </w:rPr>
        <w:t>E. 9.1</w:t>
      </w:r>
    </w:p>
    <w:p>
      <w:r>
        <w:t>En l'espèce, il ressort des indications du dossier que B._______ est âgée de vingt ans et célibataire, de sorte qu'elle serait parfaitement à même de se créer une nouvelle existence hors de sa patrie sans que cela n'entraîne pour elle de difficultés sur le plan personnel. Sur le plan professionnel, les recourants reprochent à l'ODM d'avoir rendu une décision arbitraire en retenant dans sa décision du 8 avril 2009 que B._______ était sans emploi, alors qu'elle avait expressément mentionné, dans sa demande d'entrée du 6 novembre 2008, qu'elle exerçait la profession d'enseignante d'anglais à l'école C._______. A ce propos, le Tribunal constate que B._______ a joint à sa demande d'entrée deux attestations non datées établies par l'école C._______, l'une indiquant qu'elle avait travaillé dans l'école en qualité d'enseignante d'anglais, qu'elle souhaitait aller en Suisse pour rendre visite à son oncle et que l'école n'avait pas d'objection à sa venue en Suisse, l'autre ayant le contenu suivant: «This is to certify that Ms. B._______ D/O D._______ has worked in C._______ English Language and Computer Academy as an English Language Teacher since January 2006 till present. During her post she has taught different New Inter Com Levels (Level 1-4) She has worked 30 hours a week and earning Rs. 5000 salary monthly. She is one of the best characteristic and intelligent staff members of C._______ English Language and Computer Academy. Finally, she can continue her career everywhere and we wish her to be healthy and successful in whole life ». Au vu de ce dernier document, dans lequel l'employeur indique que B._______ peut continuer sa carrière en tout lieu et forme tous ses voeux de santé et de bonheur pour son avenir, l'on ne saurait reprocher à l'ODM d'avoir rendu une décision arbitraire en retenant dans sa décision du 8 avril 2009 que B._______ était sans emploi. Cela étant, les recourants ont joint à leur pourvoi une nouvelle attestation, établie le 6 mai 2009 par l'école C._______, soit postérieurement au prononcé de l'ODM, qui reprend mot à mot l'attestation précédente jointe à la demande d'entrée, excepté deux points. L'un concerne le salaire mensuel, qui passe de 5000 roupies, soit l'équivalent de 71,90 francs suisse au 6 novembre 2008 à 7000 roupies soit l'équivalent de 98,60 francs suisses au 6 mai 2009. L'autre se rapporte au dernier paragraphe, qui est modifié comme suit: «Besides, we have no objection about her going to Switzerland, we leave her and guarantee that she will come back to Pakistan Peshawar because she has to continue her classes here and we need her too». A cette attestation était jointe une nouvelle déclaration non datée, signée par B._______, aux termes de laquelle la prénommée assurait qu'après avoir rendu visite à son oncle, elle regagnerait Peshawar pour y retrouver son travail et sa famille. Le Tribunal relève cependant que les attestations de l'école C._______ doivent être appréciées avec une évidente retenue. En effet, l'un des deux signataires, soit le directeur de l'école, E._______, porte le même nom que le frère de B._______, selon les copies des carte de résidence des membres de la famille de la prénommée, jointes au recours. Au demeurant, le numéro du téléphone mobile de l'école figurant sur les trois attestations produites est semblable au numéro de téléphone que B._______ a mentionné dans sa demande d'entrée du 6 novembre 2008 comme étant son numéro de téléphone privé. Enfin, l'adresse de l'école C._______ se situe dans la même rue que le domicile de B._______, mais au numéro suivant (cf. demande d'entrée du 6 novembre 2008). Ces divers éléments, ainsi que le nom de l'école, laissent présumer que l'école C._______ est une entreprise familiale. Enfin, selon les attestations précitées, B._______ aurait commencé à enseigner l'anglais à raison de 30 heures par semaine au sein de l'école C._______, dès le mois de janvier 2006. Or, en janvier 2006, B._______ était âgée de quinze ans et huit mois et il paraît pour le moins douteux que l'intéressée, qui, à l'époque de son engagement, devait tout juste avoir terminée sa scolarité obligatoire, ait bénéficié d'une formation suffisante pour donner des cours d'anglais à plein temps dans une école de langues.</w:t>
      </w:r>
    </w:p>
    <w:p>
      <w:r>
        <w:rPr>
          <w:b/>
        </w:rPr>
        <w:t>E. 9.2</w:t>
      </w:r>
    </w:p>
    <w:p>
      <w:r>
        <w:t>Cela étant, même si le Tribunal retient que B._______ enseigne effectivement l'anglais dans une école de langue à raison de 30 heures par semaine pour un salaire mensuel de 7000 roupies, soit l'équivalent de près de 100.- francs suisses, que ses parents, son frère et sa soeur résident également à Peshawar (cf. mémoire de recours et pièces jointes) et s'il convient d'admettre que de tels liens peuvent, dans une certaine mesure, inciter une personne, au terme du séjour envisagé en Suisse, à retourner dans le pays où elle réside, ils ne sauraient, dans le contexte socio-économique dans lequel se trouve le Pakistan, suffire toutefois, à eux seuls, à garantir le retour de cette personne dans cet Etat. Il sied en effet d'admettre, au vu de l'expérience générale, que de tels éléments sont parfois insuffisants pour inciter une personne à retourner dans le pays où elle réside et, souvent, ne l'emportent pas sur la perspective d'un avenir plus favorable en Suisse. Compte tenu des circonstances socio-économiques évoquées plus haut, les autorités helvétiques ne peuvent totalement exclure que B._______ ne s'efforce, une fois entrée en ce pays et malgré les assurances contraires qui ont été données par les recourants, d'obtenir un titre de séjour dans l'espoir d'y poursuivre des études, voire même de tenter d'y débuter l'exercice d'une activité lucrative lui procurant des conditions d'existence meilleures que celles rencontrées dans son pays de résidence. Il ne faut pas perdre de vue en effet que cette différence de niveau de vie peut s'avérer déterminante lorsqu'on prend la décision de quitter sa patrie. Au demeurant, l'on ne décèle aucun élément dans le dossier permettant de conclure que la situation matérielle de B._______ se trouverait péjorée si celle-ci prenait la décision de demeurer sur territoire helvétique à l'expiration de son visa. Au vu des éléments exposés ci-dessus, le Tribunal ne saurait tenir pour minime le risque que B._______ ne mette à profit sa présence en Suisse pour s'y installer durablement auprès de son hôte.</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(cf. attestation de prise en charge financière signée par A._______ le 23 janvier 2009),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11</w:t>
      </w:r>
    </w:p>
    <w:p>
      <w:r>
        <w:t>Par surabondance, il convient de mentionner qu'un refus d'autorisation d'entrée en Suisse prononcé par les autorités helvétiques n'a pas en l'occurrence pour conséquence d'empêcher B._______ et son hôte vivant en Suisse de se voir, ces derniers pouvant tout aussi bien se rencontrer hors de Suisse, notamment au Pakistan, nonobstant les inconvénients d'ordre pratique ou de convenance personnelle que cela pourrait engendrer.</w:t>
      </w:r>
    </w:p>
    <w:p>
      <w:r>
        <w:rPr>
          <w:b/>
        </w:rPr>
        <w:t>E. 12</w:t>
      </w:r>
    </w:p>
    <w:p>
      <w:r>
        <w:t>Au vu de l'ensemble des circonstances,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w:t>
      </w:r>
    </w:p>
    <w:p>
      <w:r>
        <w:rPr>
          <w:b/>
        </w:rPr>
        <w:t>E. 12.1</w:t>
      </w:r>
    </w:p>
    <w:p>
      <w:r>
        <w:t>Il s'ensuit que, par sa décision du 8 avril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