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C-3162/2008 vom 17. Juni 2009</w:t>
      </w:r>
    </w:p>
    <w:p>
      <w:r>
        <w:t>Bundesverwaltungsgericht, 2009-06-17, DE</w:t>
      </w:r>
    </w:p>
    <w:p>
      <w:r>
        <w:rPr>
          <w:b/>
        </w:rPr>
        <w:t xml:space="preserve">Quelle: </w:t>
      </w:r>
      <w:r>
        <w:t>https://mcp.opencaselaw.ch/entscheid/bvger_C-3162_2008</w:t>
      </w:r>
    </w:p>
    <w:p>
      <w:r>
        <w:t>FR: TAF C-3162/2008 du 17 juin 2009</w:t>
      </w:r>
    </w:p>
    <w:p>
      <w:r>
        <w:t>IT: TAF C-3162/2008 del 17 giugno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Rechtssprechung stellt das Sozialversicherungsgericht bei der Beurteilung einer Streitsache in der Regel auf den bis zum Zeitpunkt des Erlasses der streitigen Verfügung (hier: 2. April 2008) eingetretenen Sachverhalt ab (BGE 129 V 1 E. 1.2 mit Hinweisen). Tatsachen, die jenen Sachverhalt seither verändert haben, sollen im Normalfall Gegenstand einer neuen Verwaltungsverfügung sein (BGE 121 V 362 E. 1b).</w:t>
      </w:r>
    </w:p>
    <w:p>
      <w:r>
        <w:rPr>
          <w:b/>
        </w:rPr>
        <w:t>E. 2.2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jüngst als Staat anerkannten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Die Frage ob, und gegebenenfalls ab wann Anspruch auf Leistungen der IV besteht, bestimmt sich daher vorliegend alleine aufgrund der schweizerischen Rechtsvorschriften.</w:t>
      </w:r>
    </w:p>
    <w:p>
      <w:r>
        <w:rPr>
          <w:b/>
        </w:rPr>
        <w:t>E. 2.3</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vor dem 1. Januar 2004 auf die bis Ende 2003 gültige Fassung (AS 2002 3371 und 3453), danach auf die Fassung gemäss den am 1. Januar 2004 in Kraft getretenen Änderungen (4. IV-Revision; AS 2003 3837) abzustellen. Soweit ein Rentenanspruch ab dem 1. Januar 2008 zu prüfen ist, sind weiter die mit der 5. IV-Revision zu diesem Zeitpunkt in Kraft getretenen Gesetzesänderungen zu beachten (AS 2007 5129).</w:t>
      </w:r>
    </w:p>
    <w:p>
      <w:r>
        <w:rPr>
          <w:b/>
        </w:rPr>
        <w:t>E. 3.1</w:t>
      </w:r>
    </w:p>
    <w:p>
      <w:r>
        <w:t>Gemäss Art. 8 ATSG in Verbindung mit Art. 4 Abs. 1 IVG (Fassung gemäss Anhang Ziff. 8 des ATSG, in Kraft seit 1. Januar 2003)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Ein Anspruch auf eine ganze Invalidenrente bestand gemäss Art. 28 Abs. 1 IVG in der bis zum 31. Dezember 2003 gültig gewesenen Fassung, wenn die versicherte Person mindestens zu zwei Dritteln, derjenige auf eine halbe Rente, wenn sie mindestens zur Hälfte und derjenige auf eine Viertelsrente, wenn sie mindestens zu 40% invalid war. Seit dem 1. Januar 2004 besteht Anspruch auf eine ganze Invalidenrente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Die einschlägige Bestimmung der seit 1. Januar 2008 gültigen Fassung (Art. 29 Abs. 4 IVG [5. IV-Revision]) wurde zwar neu formuliert, hat aber inhaltlich keine Änderung erfahren, weshalb die hierzu entwickelte Rechtssprechung übernommen und weitergeführt werden kann.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4</w:t>
      </w:r>
    </w:p>
    <w:p>
      <w:r>
        <w:t>Vorliegend ist zu beurteilen, ob und gegebenenfalls seit wann und in welchem Umfang der Beschwerdeführer Anspruch auf eine Invalidenrente hat.</w:t>
      </w:r>
    </w:p>
    <w:p>
      <w:r>
        <w:rPr>
          <w:b/>
        </w:rPr>
        <w:t>E. 4.1.1</w:t>
      </w:r>
    </w:p>
    <w:p>
      <w:r>
        <w:t>Der Beschwerdeführer macht geltend, die IV-Stelle sei aufgrund des gutheissenden Urteils des Bundesgerichts vom 19. Februar 2007 gar nicht berechtigt gewesen, die Einstellung der bis dahin gewährten Dreiviertelsrente zu verfügen. Die Verfügung der IV-Stelle hätte vielmehr zu seinen Gunsten ausfallen müssen.</w:t>
      </w:r>
    </w:p>
    <w:p>
      <w:r>
        <w:rPr>
          <w:b/>
        </w:rPr>
        <w:t>E. 4.1.2</w:t>
      </w:r>
    </w:p>
    <w:p>
      <w:r>
        <w:t>Damit rügt der Beschwerdeführer sinngemäss eine Verletzung des Verbots der reformatio in peius. Eine reformatio in peius liegt nur vor, wenn das Gericht selber einen reformatorischen Entscheid fällt. Die blosse Möglichkeit einer Schlechterstellung der beschwerdeführenden Partei infolge Aufhebung der angefochtenen Verfügung verbunden mit einer Rückweisung zur ergänzenden Sachverhaltsfeststellung und Neubeurteilung der Sache gilt gemäss ständiger bundesgerichtlicher Rechtsprechung nicht als reformatio in peius, es sei denn, die Rückweisung an die Verwaltung habe mit Sicherheit eine Verschlechterung der Rechtstellung der Beschwerde führenden Person zur Folge (Urteil des Bundesgerichts [BGer] 9C_992/2008 vom 6. Januar 2009 E. 2 mit Hinweisen). Bei einer Rückweisung wird das Verfahren grundsätzlich lediglich in den Zustand vor Erlass der Verfügung zurückversetzt (vgl. Urteil BGer 9C_613/2007 vom 23. Oktober 2007 E. 3.3.2).</w:t>
      </w:r>
    </w:p>
    <w:p>
      <w:r>
        <w:rPr>
          <w:b/>
        </w:rPr>
        <w:t>E. 4.1.3</w:t>
      </w:r>
    </w:p>
    <w:p>
      <w:r>
        <w:t>Das Bundesgericht hat mit Urteil vom 19. Februar 2007 die Verwaltungsgerichtsbeschwerde des Beschwerdeführers - soweit darauf eingetreten wurde - gutgeheissen, den angefochtenen Entscheid und den Einspracheentscheid der IV-Stelle aufgehoben und die Sache zur Durchführung einer orthopädischen und psychiatrischen Begutachtung und zum anschliessenden Erlass einer neuen Verfügung an die IV-Stelle zurückgewiesen. Die IV-Stelle war aufgrund dieses Urteils verpflichtet, nach ergänzter Sachverhaltsfeststellung neu in der Sache zu verfügen. Nach freier Würdigung der ergänzten Akten, konnte die IV-Stelle sowohl zugunsten als auch zuungunsten des Beschwerdeführers verfügen.</w:t>
      </w:r>
    </w:p>
    <w:p>
      <w:r>
        <w:rPr>
          <w:b/>
        </w:rPr>
        <w:t>E. 4.2.1</w:t>
      </w:r>
    </w:p>
    <w:p>
      <w:r>
        <w:t>Die angefochtene Verfügung der IV-Stelle stützt sich im Wesentlichen auf das zur ergänzenden Sachverhaltsfeststellung erstellte Gutachten der MEDAS vom 8. November 2007 (act. 183). Diagnostiziert wurde ein lumbovertebral-Syndrom bei geringgradiger medianer Bandscheibenprotrusion L5/S1 ohne nachweisbare radikuläre Zeichen, ferner Dysthymia und Simulation. Die Gutachter der MEDAS kamen zum versicherungsmedizinischen Schluss, dass entsprechend den umfangreichen Voruntersuchungen auch im Rahmen der MEDAS-Begutachtung kein objektives Korrelat für die vom Beschwerdeführer angegebenen massiven Schmerzen und erheblichen Funktionseinschränkungen habe gefunden werden können. In allen Untersuchungen sei dessen unkooperatives und inkonsistentes Verhalten im Vordergrund gestanden, welches bei manchen Funktionsprüfungen und neuropsychologischen Tests so drastisch gewesen sei, dass vom bewussten Versuch der Täuschung (Simulation) gesprochen werden müsse. Psychiatrisch könne allenfalls von einer Dysthymia gesprochen werden, die jedoch ganz überwiegend durch ungünstige externe psycho-soziale und sozio-ökonomische Belastungen aufrecht erhalten werde und damit keine schwerwiegende und andauernde, sondern eine leichte und potenziell reversible Störung darstelle. Aus den ärztlichen Befundberichten aus der Heimat des Beschwerdeführers seien keine neuen medizinischen Gesichtspunkte im Sinne objektivierbarer gesundheitlicher Beeinträchtigungen ersichtlich. Die von diesen Ärzten gezogenen Schlussfolgerungen mit dem Ergebnis einer letztlich aufgehobenen Leistungsfähigkeit seien vor dem Hintergrund der objektiven Befunde nicht nachvollziehbar. Die Wiederaufnahme der Tätigkeit als Bauarbeiter sowie jeder anderen, körperlich schweren Tätigkeit, sei wegen der dauernden erheblichen Belastung der Wirbelsäule nicht mehr zumutbar. Eine angepasste Tätigkeit (leichte und wechselbelastende Tätigkeit, die keine Zwangshaltungen des Rumpfes voraussetze) sei spätestens ab dem Zeitpunkt des Gutachtens im Jahre 1992, wahrscheinlich auch schon früher, mit vollem zeitlichen Pensum medizinisch zumutbar gewesen.</w:t>
      </w:r>
    </w:p>
    <w:p>
      <w:r>
        <w:rPr>
          <w:b/>
        </w:rPr>
        <w:t>E. 4.2.2</w:t>
      </w:r>
    </w:p>
    <w:p>
      <w:r>
        <w:t>Der Beschwerdeführer beantragt sinngemäss die Weitergewährung der ihm bis zum Erlass der angefochtenen Verfügung gewährten Dreiviertelsrente. Dabei macht er geltend, dass das Gutachten der MEDAS in dem Sinne ungenügend sei, dass er sich von den gutachtenden Ärzten nicht ernst genommen gefühlt habe. Zudem sei er nicht respektvoll behandelt worden und man habe ihn provoziert. Aufgrund körperlicher und psychischer Beeinträchtigungen seiner Gesundheit sei er entgegen der Auffassung der Gutachter der MEDAS sowohl bezüglich schwerer als auch angepasster Tätigkeiten seit 22 Jahren vollständig arbeitsunfähig. Als Beleg für seine gesundheitlichen Probleme reichte der Beschwerdeführer - seit Erlass des Urteils des Bundesgerichts vom 19. Februar 2007 - zusätzlich die folgenden medizinischen Kurzberichte und Atteste von behandelnden Fachärzten aus seinem Heimatland ein: Dr. med. F._______ stellte in seinem Bericht vom 19. Juni 2007 die Diagnosen "Sy. depressivum", "Status post contusionem vertebre lumbalis aa XXI", "Protrusione multiplices disci i.v. L3-L4, L4-L5, L5-S1", "Lumboischialgia bill. chronica", "Discopathia et radiculopathia lumbalis chronica" sowie "Spondylarthrosis chronica" und kam zum Schluss, dass der Beschwerdeführer dadurch "incapable pour n'importe quel travail" sei (act. 198). Dr. med. G._______ diagnostizierte in seinem Bericht vom 19. Juni 2007 eine "Discarthosis L4L5 L5S1" sowie eine "Spondylarthrosis vertebrae lumbalis" und hielt fest, dass der Beschwerdeführer "incapable pour la production" sei (act. 200). Dr. med. H._______ stellte mit Bericht vom 16. Juli 2007 die Diagnosen "St. post contusionem vertebre lumbosacralis", "Protrusione multiplices disci interviertebralis L3/L4, L4/L5, L5/S1", "Discarthrosis L3/S1", Lumboischialgia bill. chronica", Sy depressivum", "Spondylosis cervicalis", "Tinitus auris", "Sy vertiginosum" und "Hypoacusis bill.pp lat. sin." und gab an, dass sich der Gesundheitszustand des Beschwerdeführers von Jahr zu Jahr verschlechtern würde und dass dieser dadurch auf Hilfe und Pflege anderer sowie auf Gehhilfen angewiesen sei (act. 202). Mit Bericht vom 17. Januar 2007 bestätigte Dr. med. H._______ seine zuvor gestellten Diagnosen und führte weiter aus, dass einige dieser Diagnosen sowie die festgestellte Arbeitsunfähigkeit des Beschwerdeführers auf den Arbeitsunfall vom 28. April 1986 zurückzuführen seien (act. 204). Dr. med. I._______ und Dr. med. G._______ stellten die Diagnosen "Sy lumbale" sowie "Discarhrosis L4L5L5S1" und attestierten den Spitalaufenthalt des Beschwerdeführers vom 27. Mai 2008 bis 9. Juni 2008 zur Behandlung von Schmerzen im Bereich der Lendenwirbelsäule.</w:t>
      </w:r>
    </w:p>
    <w:p>
      <w:r>
        <w:rPr>
          <w:b/>
        </w:rPr>
        <w:t>E. 4.2.3</w:t>
      </w:r>
    </w:p>
    <w:p>
      <w:r>
        <w:t>Die Vorinstanz entgegnet - gestützt auf die Einschätzungen ihres ärztlichen Dienstes (act. 206 und 214) -, dass keine Veranlassung bestehe, das auf gründlichen Beobachtungen und Untersuchungen basierende Gutachten der MEDAS in Frage zu stellen. Die vom Beschwerdeführer neu eingereichten ärztlichen Kurzberichte und Atteste würden daran nichts ändern, da sie keine neuen Elemente enthalten und daher keine relevanten Änderungen des Gesundheitszustandes seit dem Gutachten der MEDAS vorliegen würden.</w:t>
      </w:r>
    </w:p>
    <w:p>
      <w:r>
        <w:rPr>
          <w:b/>
        </w:rPr>
        <w:t>E. 4.2.4</w:t>
      </w:r>
    </w:p>
    <w:p>
      <w:r>
        <w:t>Die Verwaltung und im Beschwerdefall das Gericht haben die medizinischen Unterlagen nach dem Grundsatz der freien Beweiswürdigung - wie alle anderen Beweismittel - frei, ohne Bindung an förmliche Beweisregeln, sowie umfassend und pflichtgemäss zu würdigen. Dies bedeutet, dass alle Beweismittel, unabhängig von wem sie stammen, objektiv zu prüfen sind und danach zu entscheiden ist, ob die verfügbaren Unterlagen eine zuverlässige Beurteilung des streitigen Rechtsanspruches gestatten. Insbesondere darf das Gericht bei sich widersprechenden medizinischen Berichten den Prozess nicht erledigen, ohne das gesamte Beweismaterial zu würdigen und die Gründe anzugeben, warum es auf die eine und nicht auf die andere medizinische These abstellt.</w:t>
      </w:r>
    </w:p>
    <w:p>
      <w:r>
        <w:rPr>
          <w:b/>
        </w:rPr>
        <w:t>E. 4.2.5</w:t>
      </w:r>
    </w:p>
    <w:p>
      <w:r>
        <w:t>Nach der höchstrichterlichen Rechtsprechung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Berichte von behandelnden Ärzten sind aufgrund der auftragsrechtlichen Vertrauensstellung zum Patienten hingegen mit Vorbehalt zu würdigen (BGE 125 V 353 E. 3b/bb und cc mit weiteren Hinweisen; Urteil des EVG vom 9. August 2000, I 437/99 E. 4b/bb; Urteil des EVG vom 20. März 2006, I 655/05 E. 5.4 mit Hinweisen).</w:t>
      </w:r>
    </w:p>
    <w:p>
      <w:r>
        <w:rPr>
          <w:b/>
        </w:rPr>
        <w:t>E. 4.2.6</w:t>
      </w:r>
    </w:p>
    <w:p>
      <w:r>
        <w:t>Das Gutachten der MEDAS beruht auf einer interdisziplinären, mehrtägigen Untersuchung des Beschwerdeführers in Bern. Am 29. August 2007 erfolgte ein Basisgespräch mit lic. phil. K._______, eine neurologische Untersuchung durch Dr. med. L._______, sowie eine neuropsychologische Untersuchung durch Dr. phil. M._______ und lic. phil. K._______. Die psychiatrische Untersuchung fand am 30. August 2007 durch Dr. med. N._______, und die chirurgisch-orthopädische Untersuchung am 31. August 2007 durch Dr. med. O._______ statt. Es sprechen keine konkreten Indizien gegen die Zuverlässigkeit des ausführlichen und nachvollziehbaren Gutachtens der MEDAS. Es beruht auf allseitigen Untersuchungen, berücksichtigt die geklagten Beschwerden, erfolgte in Kenntnis der Vorakten (insbesondere medizinische Berichte und Anamnese) und leuchtet in der Beurteilung der medizinischen Diagnosen und der Auswirkungen auf die Erwerbsfähigkeit ein.</w:t>
      </w:r>
    </w:p>
    <w:p>
      <w:r>
        <w:rPr>
          <w:b/>
        </w:rPr>
        <w:t>E. 4.2.7</w:t>
      </w:r>
    </w:p>
    <w:p>
      <w:r>
        <w:t>Die gegen das Gutachten der MEDAS erhobenen Vorbringen des Beschwerdeführers - das Gutachten sei zu seinen Ungunsten ausgefallen, da er von den Ärzten der MEDAS provoziert, schikaniert und nicht ernst genommen worden sei - überzeugen nicht. Ein solches Verhalten der Gutachter der MEDAS ist vorliegend nicht belegt. Hingegen konnte das von den Fachärzten der MEDAS festgestellte Verhalten des Beschwerdeführers (Simulation, demonstrative Fehlhaltung) bereits in den umfangreichen Voruntersuchungen durch IV-Ärzte beziehungsweise den Gutachter des Kantonsspitals Y._______ mehrmals festgestellt werden (vgl. act. 31, 45, 122, 129 und 145 sowie act. SUVA 57).</w:t>
      </w:r>
    </w:p>
    <w:p>
      <w:r>
        <w:rPr>
          <w:b/>
        </w:rPr>
        <w:t>E. 4.2.8</w:t>
      </w:r>
    </w:p>
    <w:p>
      <w:r>
        <w:t>Auch die im Beschwerdeverfahren neu eingereichten ärztlichen Kurzberichte und Atteste der behandelnden Fachärzte aus dem Heimatstaat des Beschwerdeführers sind - trotz teilweise abweichender Beurteilung bezüglich der damit verbundenen Einschränkung der Arbeitsfähigkeit - nicht geeignet, das Gutachten der MEDAS in Frage zu stellen, da sie aufgrund der im Wesentlichen gleichlautenden Befunde keine neuen medizinischen Erkenntnisse beinhalten. Zu erwähnen gilt zudem, dass die vom Beschwerdeführer eingereichten Berichte grösstenteils in der Zeit vor der Durchführung der Begutachtung durch die MEDAS erstellt worden sind, was darauf schliessen lässt, dass beim Beschwerdeführer seit der Begutachtung keine Änderungen des Gesundheitszustandes eingetreten sind.</w:t>
      </w:r>
    </w:p>
    <w:p>
      <w:r>
        <w:rPr>
          <w:b/>
        </w:rPr>
        <w:t>E. 4.2.9</w:t>
      </w:r>
    </w:p>
    <w:p>
      <w:r>
        <w:t>Zwischen der im Gutachten der MEDAS erfolgten Feststellung, dass der Beschwerdeführer in der chirurgisch-orthopädischen Untersuchung aufgrund seines Verhaltens kaum untersuchbar gewesen sei (Gutachten der MEDAS vom 8. November 2007, S. 24), und der Tatsache, dass trotzdem ein umfassender chirurgisch-orthopädischer Befund gemacht werden konnte (Gutachten der MEDAS vom 8. November 2007, S. 15), besteht zwar eine gewisse Unstimmigkeit. Dies genügt jedoch nicht, um die Glaubwürdigkeit des Gutachtens in Frage zu stellen. Es ist daher auf die Schlussfolgerung im Gutachten der MEDAS abzustellen.</w:t>
      </w:r>
    </w:p>
    <w:p>
      <w:r>
        <w:rPr>
          <w:b/>
        </w:rPr>
        <w:t>E. 4.2.10</w:t>
      </w:r>
    </w:p>
    <w:p>
      <w:r>
        <w:t>Zusammenfassend ist demnach festzuhalten, dass keine Gründe vorhanden sind, von den ärztlichen Beurteilungen gemäss dem Gutachten der MEDAS abzuweichen. Damit ist nicht zu beanstanden, dass die IV-Stelle diesem umfassenden Bericht gefolgt ist.</w:t>
      </w:r>
    </w:p>
    <w:p>
      <w:r>
        <w:rPr>
          <w:b/>
        </w:rPr>
        <w:t>E. 4.2.11</w:t>
      </w:r>
    </w:p>
    <w:p>
      <w:r>
        <w:t>Der von der IV-Stelle vorgenommene Einkommensvergleich (act. 188) wird vom Beschwerdeführer nicht beanstandet. Verglichen wurde dabei das zumutbare Einkommen pro Jahr ohne Invalidität von Fr. 5'652.44 (Schweizerische Lohnstrukturerhebung [LSE] für 2006 des Bundesamtes für Statistik, TA1, Privater Sektor, Baugewerbe, Anforderungsniveau 3, Männer, Fr. 5'422.- angepasst an die durchschnittliche Wochenarbeitszeit von 41.7 Stunden) und das zumutbare Erwerbseinkommen pro Jahr mit Invalidität von Fr. 4'690.47, ausgehend vom Durchschnitt der gemäss LSE 2006 in Frage stehenden Tabellenlöhne. Daraus resultiert ein Invaliditätsgrad von (abgerundet) 17%. Der Einkommensvergleich ist zutreffend (vgl. E. 3.2). Die IV-Stelle hat in Anbetracht des tiefen Alters des Versicherten zu Beginn der Periode, während welcher ihm Verweisungstätigkeiten zugemutet werden konnten, bei der Berechnung des Invaliditätsgrades keinen so genannten leidensbedingten Abzug vorgenommen. Die Beurteilung der Frage, ob sich vorliegend ein - allenfalls geringer - leidensbedingter Abzug rechtfertigen würde, weil der Beschwerdeführer seit der Rückkehr in sein Heimatland nicht mehr gearbeitet hat und im Zeitpunkt der angefochtenen Verfügung 52 Jahre alt war, kann offen bleiben, würde sich doch sogar bei einem Maximalabzug von 25% kein IV-Grad von mindestens 50% (vgl. E. 3.2 hiervor) ergeben ([{5'652.44 - 3'517.85} x 100] : 5'652.44 = 37.76%).</w:t>
      </w:r>
    </w:p>
    <w:p>
      <w:r>
        <w:rPr>
          <w:b/>
        </w:rPr>
        <w:t>E. 4.2.12</w:t>
      </w:r>
    </w:p>
    <w:p>
      <w:r>
        <w:t>Es besteht somit kein Anspruch auf Invalidenrente. Die IV-Stelle hat folglich die Zahlung der dem Beschwerdeführer bis dahin gewährten Dreiviertelsrente zu Recht per 1. Juni 2008 eingestellt. Die Beschwerde ist daher abzuweisen.</w:t>
      </w:r>
    </w:p>
    <w:p>
      <w:r>
        <w:rPr>
          <w:b/>
        </w:rPr>
        <w:t>E. 5</w:t>
      </w:r>
    </w:p>
    <w:p>
      <w:r>
        <w:t>Die Verfahrenskosten sind dem unterliegenden Beschwerdeführer aufzuerlegen (Art. 63 Abs. 1 VwVG) und mit dem geleisteten Kostenvorschuss von Fr. 400.- zu verrechnen. Dem Beschwerdeführer ist bei diesem Ausgang des Verfahrens keine Parteientschädigung zuzusprechen (Art. 64 VwVG und Art. 7 Abs. 1 des Reglements vom 21. Februar 2008 über die Kosten und Entschädigungen vor dem Bundesverwaltungsgericht [VGKE, SR 173.320.2] e contrario). Die IV-Stelle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