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C-3149/2009 vom 15. Februar 2010</w:t>
      </w:r>
    </w:p>
    <w:p>
      <w:r>
        <w:t>Bundesverwaltungsgericht, 2010-02-15, DE</w:t>
      </w:r>
    </w:p>
    <w:p>
      <w:r>
        <w:rPr>
          <w:b/>
        </w:rPr>
        <w:t xml:space="preserve">Quelle: </w:t>
      </w:r>
      <w:r>
        <w:t>https://mcp.opencaselaw.ch/entscheid/bvger_C-3149_2009</w:t>
      </w:r>
    </w:p>
    <w:p>
      <w:r>
        <w:t>FR: TAF C-3149/2009 du 15 février 2010</w:t>
      </w:r>
    </w:p>
    <w:p>
      <w:r>
        <w:t>IT: TAF C-3149/2009 del 15 febbraio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legitimiert. Auf die frist- und formgerechte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133 I 185 E. 2.3 S. 189).</w:t>
      </w:r>
    </w:p>
    <w:p>
      <w:r>
        <w:rPr>
          <w:b/>
        </w:rPr>
        <w:t>E. 4.1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4.2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anstelle vieler die Urteile des Bundesverwaltungsgerichts C-1509/2008 vom 13. Februar 2009 sowie C-3013/2008 vom 14. Februar 2009 jeweils E. 5.2 und E. 5.3).</w:t>
      </w:r>
    </w:p>
    <w:p>
      <w:r>
        <w:rPr>
          <w:b/>
        </w:rPr>
        <w:t>E. 5</w:t>
      </w:r>
    </w:p>
    <w:p>
      <w:r>
        <w:t>In Anhang I zur Verordnung (EG) Nr. 539/2001 des Rates vom 15. März 2001 (ABl. L 81 vom 21.03.2001, S. 1-7) sind diejenigen Staaten aufgelistet, deren Staatsangehörige beim Überschreiten der Aussengrenzen der Schengen-Mitgliedstaaten im Besitze eines Visums sein müssen. Sri Lanka ist in diesem Anhang aufgeführt, weshalb die Gesuchstellerin der Visumspflicht unterliegt.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Die Wirtschaft Sri Lankas ist im Jahr 2008 real um 6,0% gewachsen. Das Pro-Kopf-Einkommen betrug 2'014 USD, das Bruttoinlandprodukt (BIP) 40,7 Mrd. USD. Die Werte des ersten Quartals 2009 (+1,5%) lassen für das Gesamtjahr jedoch eine geringere Rate erwarten. Ein Problem für die weitere wirtschaftliche Entwicklung des Landes ist die Inflation, die 2008 eine Rekordhöhe von durchschnittlich 22,6% erreichte. Zurzeit schwächt die Preissteigerung aber ab: im Juni 2009 lag die 12-Monats-Rate bei 12,5%. Die wirtschaftliche Entwicklung Sri Lankas weist allerdings grosse regionale Unterschiede auf. Wirtschaftliches Zentrum ist die Region rund um Colombo, die fast die Hälfte der gesamten Wirtschaftsleistung erbringt. Demgegenüber sind der Norden und Osten des Landes durch den - mit Unterbrechungen - 26 Jahre währenden und erst im Mai 2009 beendeten Bürgerkrieg in ihrer Entwicklung zurückgeworfen und beim wirtschaftlichen Wiederaufbau sowohl auf erhebliche Hilfe der eigenen Regierung als auch auf internationale Unterstützung angewiesen (Quelle: Auswärtiges Amt, &lt;http://www.auswaertiges-amt.de&gt;, Länder, Reisen und Sicherheit &gt; Sri Lanka &gt; Wirtschaft, Stand: Juli 2009, besucht im Februar 2010). In diesem Zusammenhang gehört die Fürsorge für die rund 272'000 in Lagern untergebrachten Bürgerkriegsvertriebenen und deren Wiederansiedlung in ihre Heimatorte zu den vordringlichsten innenpolitischen Aufgaben. Zudem hat das Ende des Bürgerkriegs, der nach letzten Schätzungen 100'000 Todesopfer forderte, die Diskussion um eine politische Lösung für den ethnischen Konflikt zwischen der singhalesischen Bevölkerungsmehrheit und der sich diskriminiert fühlenden tamilischen Minderheit wieder entfacht. Derzeit scheint eine solche Lösung jedoch noch in weiter Ferne zu liegen (Quelle: Auswärtiges Amt, a.a.O., Innenpolitik, Stand: August 2009, besucht im Februar 2010; vgl. auch Judith Macchi, Rainer Mattern, Schweizerische Flüchtlingshilfe, Sri Lanka: Aktuelle Situation, Update vom 7. Juli 2009).</w:t>
      </w:r>
    </w:p>
    <w:p>
      <w:r>
        <w:rPr>
          <w:b/>
        </w:rPr>
        <w:t>E. 6.4</w:t>
      </w:r>
    </w:p>
    <w:p>
      <w:r>
        <w:t>Vor diesem Hintergrund besteht erfahrungsgemäss häufig der Wunsch zur Auswanderung, welcher sich vor allem bei jüngeren und ungebundenen Menschen manifestiert.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Personen aus Sri Lanka im Jahre 2009 mit 1'415 Gesuchen (+12,1% gegenüber dem Vorjahr) die drittgrösste Gruppe von Asylsuchenden stellten (vgl. kommentierte Asylstatistik 2009 des BFM, S. 3 und 10, im Internet unter: &lt;http://www.bfm.admin.ch&gt;, Themen &gt; Statistiken).</w:t>
      </w:r>
    </w:p>
    <w:p>
      <w:r>
        <w:rPr>
          <w:b/>
        </w:rPr>
        <w:t>E. 6.5</w:t>
      </w:r>
    </w:p>
    <w:p>
      <w:r>
        <w:t>Angesichts des erst vor kurzem beendeten Bürgerkriegs, der vielfältigen Probleme der tamilischen Bevölkerung in Sri Lanka und der grossen Anzahl Asylsuchender aus diesem Staat ist die Beurteilung der Vorinstanz, die das Risiko einer nicht fristgerechten Wiederausreise als hoch einschätzte, grundsätzlich nicht zu beanstanden. Nun entbindet die Einschätzung der allgemeinen Situation zwar nicht von einer einzelfallbezogenen Beurteilung der persönlichen Verhältnisse. Es versteht sich aber von selbst, dass vergleichsweise hohe Anforderungen zu setzen sind, wenn es darum geht, eine besondere persönliche, familiäre oder berufliche Verwurzelung darzutun, welche das generell anzunehmende Risiko entscheidend zu relativieren vermag.</w:t>
      </w:r>
    </w:p>
    <w:p>
      <w:r>
        <w:rPr>
          <w:b/>
        </w:rPr>
        <w:t>E. 7.1</w:t>
      </w:r>
    </w:p>
    <w:p>
      <w:r>
        <w:t>Die Gesuchstellerin ist knapp 27-jährig, unverheiratet und soll gemäss den Ausführungen des Beschwerdeführers in Jaffna, ihrem Geburtsort, leben. Über ihre Wohnverhältnisse wurde von den Beteiligten allerdings nichts ausgeführt. Es kann demnach nicht davon ausgegangen werden, im persönlichen oder familiären Umfeld der Eingeladenen seien Verpflichtungen oder gar Abhängigkeiten vorhanden, die besondere Gewähr für eine Rückkehr nach Sri Lanka bieten könnten. Tritt hinzu, dass in Situationen angespannter wirtschaftlicher und/oder politischer Verhältnisse selbst zurückbleibende nahe Angehörige regelmässig nicht verlässlich davon abhalten können, den Entscheid für eine Emigration zu fällen. Tatsache ist, dass die Eingeladene im Norden Sri Lankas (Provinz Jaffna) und somit in einem Krisengebiet lebt. Dass der Zuwanderungsdruck aus dieser Region anhält, wird vom Beschwerdeführer nicht in Frage gestellt. Demgegenüber leben mit ihrem Bruder und dessen Familie nächste Verwandte der Gesuchstellerin seit Jahren in der Schweiz, was einen gewissen Bezug schafft und bei der Eingeladenen den Wunsch auslösen könnte, es ihnen gleich zu tun.</w:t>
      </w:r>
    </w:p>
    <w:p>
      <w:r>
        <w:rPr>
          <w:b/>
        </w:rPr>
        <w:t>E. 7.2</w:t>
      </w:r>
    </w:p>
    <w:p>
      <w:r>
        <w:t>Entsprechend grosse Bedeutung kommt deshalb den wirtschaftlichen Verhältnissen zu, in denen sich die Gesuchstellerin befindet. Im Zeitpunkt der Gesuchseinreichung war die Eingeladene nicht erwerbstätig. Auf ihrem Visumsantrag gab sie an, Studentin an der Universität von Jaffna zu sein. In den Gesuchsakten finden sich entsprechende Bestätigungen der besagten Hochschule vom 8. Januar 2009, wonach die Gesuchstellerin ihr drittes (und offenbar letztes) Studienjahr an der "Faculty of Arts" absolviere. In seiner Rechtsmitteleingabe führt der Beschwerdeführer präzisierend an, seine Schwester studiere an der Universität von Jaffna Archäologie. Für die Annahme, die Gesuchstellerin habe in der Zwischenzeit ihre Ausbildung abgeschlossen, ginge nunmehr einer geregelten Erwerbstätigkeit nach und sei daher in der Arbeitswelt integriert, ergeben sich aus den Akten keine Anhaltspunkte. Von einer starken (beruflichen) Verwurzelung, die die Eingeladene verlässlich von einer Emigration abzuhalten vermöchte, kann demnach (noch) nicht ausgegangen werden. Vor diesem Hintergrund müssen die Beteuerungen auf Beschwerdeebene, die Gesuchstellerin werde die Schweiz nach ihrem Besuchsaufenthalt fristgerecht wieder verlassen, als nicht ausschlaggebend bezeichnet werden.</w:t>
      </w:r>
    </w:p>
    <w:p>
      <w:r>
        <w:rPr>
          <w:b/>
        </w:rPr>
        <w:t>E. 8.1</w:t>
      </w:r>
    </w:p>
    <w:p>
      <w:r>
        <w:t>Gemäss den vorstehenden Erwägungen durfte die Vorinstanz zu Recht davon ausgehen, die fristgerechte Wiederausreise sei nicht hinreichend gewährleistet. Zwar lässt sich diese Prognose nicht zu einer gesicherten Feststellung verdichten; sie genügt jedoch, um die Erteilung einer Einreisebewilligung, auf welche ohnehin kein Rechtsanspruch besteht, abzulehnen. An dieser Risikoeinschätzung vermag auch der Hinweis auf das Schweizerbürgerrecht der Gastgeberin nichts zu ändern. Die Integrität des Beschwerdeführers und seiner Ehefrau in ihrer Eigenschaft als Gastgeber wird auch gar nicht in Zweifel gezogen. Indessen sind bei der Abwägung des Risikos einer nicht fristgerechten Wiederausreise nicht so sehr die Einstellung und die Absichten der Gastgeber, sondern in erster Linie das mögliche Verhalten des Gastes selbst von Bedeutung. Nur Letzterer ist in der Lage, hinreichend Gewähr für eine fristgerechte und anstandslose Wiederausreise zu bieten. Die Gastgeber können - wie dies in casu mit der Unterzeichnung des Formulars "Unterhaltsgarantie"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anstelle vieler: Urteile des Bundesverwaltungsgerichts C-204/2008 vom 5. März 2009 E. 8.4 und C-2618/2008 vom 26. Februar 2009 E.11, mit weiteren Hinweisen).</w:t>
      </w:r>
    </w:p>
    <w:p>
      <w:r>
        <w:rPr>
          <w:b/>
        </w:rPr>
        <w:t>E. 9</w:t>
      </w:r>
    </w:p>
    <w:p>
      <w:r>
        <w:t>Aus den dargelegten Gründen ist daher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