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C-3144/2010 vom 6. Juli 2011</w:t>
      </w:r>
    </w:p>
    <w:p>
      <w:r>
        <w:t>Bundesverwaltungsgericht, 2011-07-06, FR</w:t>
      </w:r>
    </w:p>
    <w:p>
      <w:r>
        <w:rPr>
          <w:b/>
        </w:rPr>
        <w:t xml:space="preserve">Quelle: </w:t>
      </w:r>
      <w:r>
        <w:t>https://mcp.opencaselaw.ch/entscheid/bvger_C-3144_2010</w:t>
      </w:r>
    </w:p>
    <w:p>
      <w:r>
        <w:t>FR: TAF C-3144/2010 du 6 juillet 2011</w:t>
      </w:r>
    </w:p>
    <w:p>
      <w:r>
        <w:t>IT: TAF C-3144/2010 del 6 luglio 2011</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Conformément à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2.2</w:t>
      </w:r>
    </w:p>
    <w:p>
      <w:r>
        <w:t>L'art. 50 du Règlement sur l'assurance-vieillesse et survivants du 31 octobre 1947 (RAVS ; RS 831.101) prévoit qu'une année de cotisations est entière lorsqu'une personne a été assurée au sens des art. 1 a ou 2 LAVS pendant plus de onze mois au total.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2.3</w:t>
      </w:r>
    </w:p>
    <w:p>
      <w:r>
        <w:t>Pour chaque assuré tenu de payer des cotisations sont établis des comptes individuels (CI)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1984 p. 184 et 459). Dans ces circonstances, le non enregistrement de cotisations acquittées peut être corrigé (jugement non publié du Tribunal fédéral des assurances en la cause B. du 13 novembre 1987).</w:t>
      </w:r>
    </w:p>
    <w:p>
      <w:r>
        <w:rPr>
          <w:b/>
        </w:rPr>
        <w:t>E. 2.4</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2ème éd. Berne 2002, p. 254). L'autorité dirige la procédure, elle définit les faits pertinents et les preuves nécessaires, qu'elle ordonne et apprécie d'office (art. 12 LPA; ATF 110 V 199; 105 Ib 114; Moor, op. cit., p. 259).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3.1</w:t>
      </w:r>
    </w:p>
    <w:p>
      <w:r>
        <w:t>Le recourant se plaint dans son recours de ce que les autorités suisses ne l'auraient pas renseigné à satisfaction de droit. Il sied donc à titre liminaire de rappeler que l'exécution de l'AVS/AI facultative est assurée par la CSC avec le concours des représentations diplomatiques ou consulaires de Suisse à l'étranger (cf. Michel Valterio, Les Suisses à l'étranger et l'AVS/AI, Cahiers genevois de sécurité sociale 1/1986 p. 34 ss; également cf. la modification des attributions introduites par l'ordonnance du 16 mars 2007 en vigueur depuis le 1er janvier 2008 [RO 2007 1359], sans incidence en l'espèce). Ces dernières sont habilitées à donner des informations sur les possibilités d'adhérer à l'assurance facultative ainsi que sur les conséquences d'une adhésion ou au contraire d'une non-affiliation. Partant, l'examen de ce grief peut se faire sans qu'il soit déterminant de distinguer entre la représentation suisse et la CSC, les éventuelles incidences étant semblables.</w:t>
      </w:r>
    </w:p>
    <w:p>
      <w:r>
        <w:rPr>
          <w:b/>
        </w:rPr>
        <w:t>E. 3.2</w:t>
      </w:r>
    </w:p>
    <w:p>
      <w:r>
        <w:t>L'art. 27 LPGA, entré en vigueur le 1er janvier 2003,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w:t>
      </w:r>
    </w:p>
    <w:p>
      <w:r>
        <w:rPr>
          <w:b/>
        </w:rPr>
        <w:t>E. 3.3</w:t>
      </w:r>
    </w:p>
    <w:p>
      <w:r>
        <w:t>L'art. 27 LPGA correspond à l'art. 35 du projet de LPGA élaboré par le groupe de travail de la Société suisse de droit des assurances. Dans le rapport relatif à ce projet du 26 mars 1999 de la Commission du Conseil national de la sécurité sociale et de la santé (FF 1999 V 4168), il est précisé que l'al. 1 de cette disposition pose une obligation générale et permanente de renseigner indépendante de la formulation d'une demande par les personnes intéressées. Cette obligation de renseigner sera satisfaite par le biais de brochures, fiches, instructions, etc. La formulation "personnes intéressées" ne veut pas dire que ceux qui désirent obtenir des renseignements doivent d'abord faire preuve de leur intérêt (FF 1999 V 4229).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Quant à l'al. 3, il n'instaure pas d'obligation à la charge de l'assureur d'entreprendre des recherches afin de déterminer si l'assuré ou ses proches peuvent prétendre à des prestations (FF 1999 V 4230).</w:t>
      </w:r>
    </w:p>
    <w:p>
      <w:r>
        <w:rPr>
          <w:b/>
        </w:rPr>
        <w:t>E. 3.4</w:t>
      </w:r>
    </w:p>
    <w:p>
      <w:r>
        <w:t>De l'avis de plusieurs auteurs, le but du conseil visé à l'art. 27 al. 2 LPGA est de permettre à la personne intéressée d'adopter un comportement dont les effets juridiques cadrent avec les exigences posées par le législateur pour que se réalise le droit à la prestation (Ueli Kieser, ATSG-Kommentar, Zurich 2003, art. 27 n. marg. 13; Jacques-André Schneider, Informations et conseils à l'assuré dans les assurances sociales: le tournant de la LPGA, in Bettina Kahil-Wolff [éd.], La partie générale du droit des assurance sociales, Lausanne 2003, p. 80.). Spira plaide quant à lui pour un renversement de la présomption selon laquelle "nul n'est censé ignorer la loi" (Raymond Spira, Du droit d'être renseigné et conseillé par les assureurs et les organes d'exécution des assurances sociales, Revue suisse des assurances sociales [RSAS] 45/2001, p. 531).</w:t>
      </w:r>
    </w:p>
    <w:p>
      <w:r>
        <w:rPr>
          <w:b/>
        </w:rPr>
        <w:t>E. 3.5</w:t>
      </w:r>
    </w:p>
    <w:p>
      <w:r>
        <w:t>Dans sa pratique, le Tribunal fédéral s'est référé aux travaux législatifs ainsi qu'à la doctrine sans toutefois délimiter l'étendu du droit instauré par l'art. 27 al. 2 LPGA. Dans un arrêt du 14 septembre 2005, il a cependant estimé que l'assureur doit rendre la personne assurée attentive au fait que son comportement pourrait mettre en péril la réalisation de l'une des conditions du droit aux prestations et qu'il n'y avait aucune raison d'abandonner la jurisprudence qui assimile la violation d'un devoir légal de renseigner à un renseignement erroné depuis la codification de cette obligation dans la LPGA (ATF 131 V 472 consid. 4 et 5 et les références citées). La violation de l'art. 27 al. 2 LPGA emporte donc les mêmes conséquences que celle induite par la violation du principe de la bonne foi. Le Tribunal fédéral a eu par la suite l'occasion de préciser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w:t>
      </w:r>
    </w:p>
    <w:p>
      <w:r>
        <w:rPr>
          <w:b/>
        </w:rPr>
        <w:t>E. 3.6</w:t>
      </w:r>
    </w:p>
    <w:p>
      <w:r>
        <w:t>Etant entendu que l'assureur n'a pas d'obligation de rechercher qui peut prétendre à des prestations d'assurance (cf. interprétation de l'art. 27 al. 3 LPGA, supra consid 3.2.2), il faut donc en déduire que ce n'est que lorsque l'administré se trouve avec l'assureur dans une relation de fait ou de droit assez étroite que ce dernier se voit investi d'une véritable obligation de renseignement et de conseil dont la violation peut engager sa responsabilité. Ce qui n'est visiblement pas le cas en l'espèce. Sa qualité de personne obligatoirement assurée (art. 1a al. 1 let. a) - perdue au moment où il a quitté la Suisse - ne confère pas au recourant un statut à ce point particulier qu'il le plaçait dans un rapport de droit et de fait si étroit avec l'administration qu'il contraignait celle-ci à l'aviser personnellement.</w:t>
      </w:r>
    </w:p>
    <w:p>
      <w:r>
        <w:rPr>
          <w:b/>
        </w:rPr>
        <w:t>E. 3.7</w:t>
      </w:r>
    </w:p>
    <w:p>
      <w:r>
        <w:t>En outre, le Tribunal fédéral a rappelé que si les représentations suisses à l'étranger sont autorisées à orienter les ressortissants suisses au sujet de l'assurance facultative, elles n'ont aucune obligation de le faire (sous réserve bien entendu de la bonne foi; cf. arrêt du Tribunal fédéral H 226/04 du 29 mars 2005 consid. 6). L'art. 3 de l'OAF, qui traite des attributions des représentations suisses, parle également - dans sa nouvelle teneur au 1er janvier 2008 - d'une possibilité de renseigner sur l'existence de l'assurance facultative et non d'un devoir.</w:t>
      </w:r>
    </w:p>
    <w:p>
      <w:r>
        <w:rPr>
          <w:b/>
        </w:rPr>
        <w:t>E. 3.8</w:t>
      </w:r>
    </w:p>
    <w:p>
      <w:r>
        <w:t>Ainsi, dans le cas d'espèce, pour le calcul de la rente de vieillesse du recourant, ne peuvent être retenues que les cotisations AVS/AI obligatoires découlant de ses emplois en Suisse pendant une période totale de 10 ans et 4 mois, le recourant ne s'étant pas affilié l'AVS/AI facultative lors de ses séjours à l'étranger aucune autre période de cotisations ne peut être retenue en sa faveur pour le calcul du montant de la prestation de vieillesse. Le Tribunal de céans constate d'ailleurs que le recourant n'a pas remis en cause la période de cotisations de 124 mois retenue dans la décision sur opposition de la CSC.</w:t>
      </w:r>
    </w:p>
    <w:p>
      <w:r>
        <w:rPr>
          <w:b/>
        </w:rPr>
        <w:t>E. 3.9</w:t>
      </w:r>
    </w:p>
    <w:p>
      <w:r>
        <w:t>Quant aux griefs du recourant notamment concernant les lacunes dans les fascicules des années 1970 et 1980, l'abus de confiance de son manager ainsi que la notoriété qu'il aurait apportée à la Suisse, ils ne sont pas du ressort de cette juridiction de recours.</w:t>
      </w:r>
    </w:p>
    <w:p>
      <w:r>
        <w:rPr>
          <w:b/>
        </w:rPr>
        <w:t>E. 4.1</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S'agissant de rentes ayant pris naissance ou qui auraient pris naissance en 2009, ce sont les Tables des rentes 2009 qui sont applicables pour la détermination de l'échelle de rente, que la rente soit versée à l'ouverture du droit ou ultérieurement.</w:t>
      </w:r>
    </w:p>
    <w:p>
      <w:r>
        <w:rPr>
          <w:b/>
        </w:rPr>
        <w:t>E. 4.2</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déterminent le montant des rentes (art. 30bis LAVS). En l'espèce, l'assuré compte 10 années et 4 mois de cotisations. Or, pour le recourant, né en 1944, 10 années entières de cotisations sur les 32 années des assurés de sa classe d'âge conférant le droit à une rente de l'échelle 44, l'échelle applicable est l'échelle 10 correspondant à 22.73 % d'une rente complète. (Tables des rentes 2009, p. 8 et 10; art. 52 RAVS).</w:t>
      </w:r>
    </w:p>
    <w:p>
      <w:r>
        <w:rPr>
          <w:b/>
        </w:rPr>
        <w:t>E. 4.3</w:t>
      </w:r>
    </w:p>
    <w:p>
      <w:r>
        <w:t>Selon l'art. 29sexies al. 1 et 2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aux deux bonifications cumulées. La bonification pour tâches éducatives correspond au triple du montant de la rente de vieillesse annuelle minimale prévu à l'art. 34 LAVS, au moment de la naissance du droit à la rente. En l'occurrence, l'assuré a deux enfants nés en septembre 1976 et en novembre 1980. Or, selon l'art. 55f al. 1 et 2 RAVS, "les bonifications pour tâches éducatives sont toujours attribuées pour l'année civile entière. Aucune bonification n'est octroyée pour l'année de la naissance du droit. Il est par contre prévu d'attribuer des bonifications pour l'année au cours de laquelle le droit s'éteint. Si une personne n'est assurée que pendant certains mois, on additionnera les mois afférents aux différentes années civiles. Une bonification pour tâches éducatives est octroyée pour douze mois". Dans le cas d'espèce, après la naissance de ses deux enfants, le recourant a cotisé à l'AVS/AI uniquement pendant 3 mois en 1980 et 1 mois en 1984, donc même en additionnant les mois de cotisations, nous n'obtenons douze mois pour aucun des deux enfants. Ainsi, le recourant ne peut bénéficier d'aucune bonification pour tâches éducatives, comme justement retenu par la CSC.</w:t>
      </w:r>
    </w:p>
    <w:p>
      <w:r>
        <w:rPr>
          <w:b/>
        </w:rPr>
        <w:t>E. 4.4</w:t>
      </w:r>
    </w:p>
    <w:p>
      <w:r>
        <w:t>Le facteur de revalorisation de la somme des revenus provenant de l'activité lucrative selon l'art. 30 al. 1er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En l'espèce le facteur de revalorisation en référence à l'année 2009 pour l'inscription suivant la 20ème année, en 1965, applicable au recourant est 1.378 (Tables des rentes 2009, p. 15).</w:t>
      </w:r>
    </w:p>
    <w:p>
      <w:r>
        <w:rPr>
          <w:b/>
        </w:rPr>
        <w:t>E. 5</w:t>
      </w:r>
    </w:p>
    <w:p>
      <w:r>
        <w:t>Les revenus de l'assuré pour les années 1963 à 1969, 1971, 1972, 1973, 1980 et en 1984 totalisent Fr. 66'521.--. Le facteur de revalorisation appliqué en 2009 à l'année 1965 (20ème année) est 1.378. Il s'ensuit que le revenu précité, compte tenu d'une durée de cotisations de 124 mois (10 ans et 4 mois), détermine un revenu annuel moyen déterminant de Fr. 8'871.-- (66'521 x 1.378 : 124 x 12). Or, ce revenu, porté au revenu annuel moyen déterminant (RAM) de l'échelle 10 pour l'année 2009 (ouverture du droit) de Fr. 13'680.- directement supérieur à son revenu annuel moyen, donne droit à une rente de vieillesse mensuelle de Fr. 259.-- (Tables des rentes 2009 p. 86). Le montant de la rente, déterminée valeur 2009, et versée à compter de 1er juillet 2009 est donc exact.</w:t>
      </w:r>
    </w:p>
    <w:p>
      <w:r>
        <w:rPr>
          <w:b/>
        </w:rPr>
        <w:t>E. 6</w:t>
      </w:r>
    </w:p>
    <w:p>
      <w:r>
        <w:t>Au vu de ce qui précède, le recours doit être rejeté et la décision sur opposition du 8 mars 2010 confirmée.</w:t>
      </w:r>
    </w:p>
    <w:p>
      <w:r>
        <w:rPr>
          <w:b/>
        </w:rPr>
        <w:t>E. 7.1</w:t>
      </w:r>
    </w:p>
    <w:p>
      <w:r>
        <w:t>Il n'est pas perçu de frais de procédure (art. 85bis al. 2 LAVS).</w:t>
      </w:r>
    </w:p>
    <w:p>
      <w:r>
        <w:rPr>
          <w:b/>
        </w:rPr>
        <w:t>E. 7.2</w:t>
      </w:r>
    </w:p>
    <w:p>
      <w:r>
        <w:t>Il n'est pas alloué de dépens (art. 7 al. 1 et 3 du règlement du 21 février 2008 concernant les frais, dépens et indemnités fixés par le Tribunal administratif fédéral [FITAF, RS 173.320.2]). (dispositif à la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