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C-313/2009 vom 4. Februar 2011</w:t>
      </w:r>
    </w:p>
    <w:p>
      <w:r>
        <w:t>Bundesverwaltungsgericht, 2011-02-04, FR</w:t>
      </w:r>
    </w:p>
    <w:p>
      <w:r>
        <w:rPr>
          <w:b/>
        </w:rPr>
        <w:t xml:space="preserve">Quelle: </w:t>
      </w:r>
      <w:r>
        <w:t>https://mcp.opencaselaw.ch/entscheid/bvger_C-313_2009</w:t>
      </w:r>
    </w:p>
    <w:p>
      <w:r>
        <w:t>FR: TAF C-313/2009 du 4 février 2011</w:t>
      </w:r>
    </w:p>
    <w:p>
      <w:r>
        <w:t>IT: TAF C-313/2009 del 4 febbraio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art. 26bis et art. 28 à art.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art. 52 PA) et que l'avance de frais de procédure a été dûment acquittée.</w:t>
      </w:r>
    </w:p>
    <w:p>
      <w:r>
        <w:rPr>
          <w:b/>
        </w:rPr>
        <w:t>E. 2</w:t>
      </w:r>
    </w:p>
    <w:p>
      <w:r>
        <w:t>Le recourant est citoyen suisse et vivait au moment déterminant au Brésil. Comme la Suisse n'a pas conclu de convention internationale concernant les prestations d'invalidité, de vieillesse et de survivants avec ce pays, le droit aux prestations se détermine en l'espèce uniquement à la lumière du droit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a présenté sa demande de rente le 5 avril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TAF peut se limiter à examiner si le recourant avait droit à une rente le 5 avril 2006 (12 mois avant le dépôt de la demande) ou si le droit à une rente était né entre cette date et le 8 décembre 2008, date de la décision attaquée marquant la limite dans le temps du pouvoir d'examen de l'autorité de recours (ATF 130 V 445 consid. 1.2 et 1.2.1).</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À compter du 1er janvier 2008, l'assuré doit toutefois compter au moins trois années de cotisations (art. 36 LAI dans sa nouvelle teneur selon la modification du 6 octobre 2006). En l'occurrence, le recourant a versé des cotisations à l'AVS/AI pendant plus de trois années au total (pce 53)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à trois-quarts de rente s'il est invalide à 60 % et à une rente entière s'il est invalide à 70 %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 au moins (let. a) ou dès qu'il a présenté en moyenne, une incapacité de travail de 40 % au moins pendant une année sans interruption notable (let. b; voir ATF 121 V 264 consid. 6). D'après la jurisprudence constante du Tribunal fédéral (TF), la lettre a s'applique si l'état de santé de l'assuré est stabilisé et a acquis un caractère essentiellement irréversible, la let. b si l'état de santé est labile, c'est-à-dire susceptible d'une amélioration ou d'une aggravation (ATF 111 V 21 consid. 2). Une incapacité de travail de 20 %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6.5</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C'est la méthode dite ordinaire de comparaison des revenus (cf. arrêt du TF I 288/06 du 20 avril 2007 consid. 3.2.2). Si l'on ne peut déterminer ou évaluer sûrement les revenus à comparer avant et après invalidité chez un assuré exerçant une activité lucrative notamment indépendante, il faut procéder à une comparaison des activités et évaluer le degré d'invalidité d'après l'incidence de la capacité de rendement amoindrie sur la situation économique concrète. C'est la méthode dite extraordinaire d'évaluation de l'invalidité qui requiert de déterminer quels sont les empêchements provoqués par la maladie ou l'infirmité et d'apprécier séparément les effets de ces empêchements sur la capacité de gain. Une certaine diminution de la capacité de rendement fonctionnelle peut certes, dans le cas d'une personne active, entraîner une perte de gain de la même importance, mais n'a pas nécessairement cette conséquence. Si l'incidence réelle effective n'était pas prise en compte de façon déterminante, on violerait le principe selon lequel l'invalidité, pour cette catégorie d'assurés, doit être déterminée d'après l'incapacité de gain, en effet, il n'y a pas toujours de corrélation entre des limitations physiques et une diminution de la capacité de gain (cf. ATF 128 V 29 consid. 1; arrêt du TF I 288/06 du 20 avril 2007 consid. 3.2.4), notamment s'agissant d'activités administratives ou pouvant être en partie déléguées à des auxiliaires.</w:t>
      </w:r>
    </w:p>
    <w:p>
      <w:r>
        <w:rPr>
          <w:b/>
        </w:rPr>
        <w:t>E. 7.1</w:t>
      </w:r>
    </w:p>
    <w:p>
      <w:r>
        <w:t>Le recourant a travaillé en Suisse en qualité de coiffeur. Au Brésil, il a exercé la même profession du 1er octobre 1986 au 31 décembre 1998 en tant que salarié et jusqu'en 2005 en tant qu'indépendant et parallèlement celle d'administrateur dès le 1er janvier 1988, activité qu'il a apparemment continué dans une mesure restreinte dès 2005. Jusqu'en 2005, le TAF peut donc conclure que le recourant n'a subi aucune invalidité au sens de la législation suisse.</w:t>
      </w:r>
    </w:p>
    <w:p>
      <w:r>
        <w:rPr>
          <w:b/>
        </w:rPr>
        <w:t>E. 7.2</w:t>
      </w:r>
    </w:p>
    <w:p>
      <w:r>
        <w:t>En revanche, pour la péY._______de successive, en absence de données économiques précises,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TF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 cit.).</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 cit.). En ce qui concerne les documents produits par le service médical d'un assureur étant partie au procès, le TF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TF I 143/07 du 14 septembre 2007 consid. 3.3 et arrêt du TF 9C_55/2008 du 26 mai 2008 consid. 4.2).</w:t>
      </w:r>
    </w:p>
    <w:p>
      <w:r>
        <w:rPr>
          <w:b/>
        </w:rPr>
        <w:t>E. 9.1</w:t>
      </w:r>
    </w:p>
    <w:p>
      <w:r>
        <w:t>Il ressort des pièces médicales au dossier, notamment des prises de position du Dr E._______, que le recourant souffre de la maladie de Dupuytren aux deux mains, d'un syndrome douloureux d'insuffisance sensitivo-motrice radiculaire et de lombosciatalgies droites depuis janvier 2005, de bursite trochantérienne du fémur droit, de gonarthrose bilatérale et d'arthrose cervicale avec cervicalgie et restrictions de la mobilité à droite, d'ostéoporose et de lithiase du rein droit, d'un status après une opération de l'hallux sur les deux côtés en 1978 et d'un status après une appendicectomie en 1952.</w:t>
      </w:r>
    </w:p>
    <w:p>
      <w:r>
        <w:rPr>
          <w:b/>
        </w:rPr>
        <w:t>E. 9.2</w:t>
      </w:r>
    </w:p>
    <w:p>
      <w:r>
        <w:t>Le médecin de l'OAIE, après avoir dans une première prise de position constaté que la documentation médicale au dossier était insuffisante, a fixé, au vu des nouveaux documents reçus par l'intermédiaire du Consulat général de Suisse à Y._______, l'incapacité de travail à 100 % dans l'activité habituelle et a retenu une capacité de travail de 80 % dans une activité de substitution, sans toutefois donner de précision concernant les limitations découlant des diagnostics qu'il avait lui-même posés.</w:t>
      </w:r>
    </w:p>
    <w:p>
      <w:r>
        <w:rPr>
          <w:b/>
        </w:rPr>
        <w:t>E. 9.3</w:t>
      </w:r>
    </w:p>
    <w:p>
      <w:r>
        <w:t>Or, la Cour de céans ne peut pas suivre sans autre l'avis du Dr E._______, repris par l'OAIE. En effet, de nombreux éléments sont de nature à semer le doute sur le bien-fondé des conclusions de Dr E._______ et portent à la conclusion que la présente affaire n'a pas été instruite de façon suffisante pour pouvoir se prononcer sur la capacité de travail du recourant. Ainsi, aucun rapport médical fiable et récent ne figure au dossier, le dernier transmis par le Consulat général de Suisse à Y._______ était vraisemblablement une copie du rapport de janvier 2008. Le Dr E._______ ne s'est d'ailleurs exprimé sur les documents au dossier que d'une manière succincte et lacunaire qui ne permet pas à la Cour de céans d'en tirer des conclusions valables quant à la question de savoir si le recourant a présenté une incapacité de travail moyenne d'au moins 40 % pendant une année avant le 8 décembre 2008, date de la décision attaquée. De plus, la Cour de céans note que l'OAIE pour le calcul de la perte de gain a utilisé la méthode générale. Or, le recourant a été en dernier lieu indépendant tant dans son activité de coiffeur que dans celle d'administrateur immobilier qu'il exerce encore actuellement. L'OAIE aurait donc dû appliquer la méthode extraordinaire qui prend en compte le statut particulier d'indépendant (cf. consid. 7.2).</w:t>
      </w:r>
    </w:p>
    <w:p>
      <w:r>
        <w:rPr>
          <w:b/>
        </w:rPr>
        <w:t>E. 9.4</w:t>
      </w:r>
    </w:p>
    <w:p>
      <w:r>
        <w:t>Dès lors, le TAF ne saurait se rallier sans autre aux conclusions de l'OAIE et considérer qu'on peut exiger du recourant qu'il exerce une activité adaptée à 100 % et que par conséquent il ne subit aucun préjudice économique.</w:t>
      </w:r>
    </w:p>
    <w:p>
      <w:r>
        <w:rPr>
          <w:b/>
        </w:rPr>
        <w:t>E. 10</w:t>
      </w:r>
    </w:p>
    <w:p>
      <w:r>
        <w:t>Ainsi, le TAF, en application de l'art. 61 PA, doit admettre partiellement le recours, annuler la décision entreprise et renvoyer le dossier à l'OAIE afin qu'il établisse par tous les moyens utiles, notamment une expertise orthopédique, traumatologique et neurologique, les informations nécessaires à une évaluation de la capacité de travail de l'intéressé dans toute activité raisonnablement exigible, fixe le taux d'invalidité sur la base d'une comparaison de revenu, le cas échéant en tenant compte de la méthode extraordinaire et rende, après avoir accordé au recourant le droit d'être entendu, une nouvelle décision.</w:t>
      </w:r>
    </w:p>
    <w:p>
      <w:r>
        <w:rPr>
          <w:b/>
        </w:rPr>
        <w:t>E. 11</w:t>
      </w:r>
    </w:p>
    <w:p>
      <w:r>
        <w:t>Vu l'issue de la cause, il n'est pas perçu de frais de procédure (art. 63 al. 1 et 2 PA, art. 6 let. b du règlement du 21 février 2008 concernant les frais, dépens et indemnités fixés par le Tribunal administratif fédéral [FITAF, RS 173.320.2]). L'avance de frais de Fr. 300.-- versée par le recourant lui sera remboursée. Bien que le recourant ait obtenu gain de cause, il n'a eu ni recours à un mandataire professionnel ni encouru de frais particulièrement élevés et nécessaires à la cause, de sorte qu'il ne lui est alloué aucune indemnité à titre de dépens (art. 64 al. 1 PA, art. 7 et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