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C-3136/2006 vom 8. Mai 2008</w:t>
      </w:r>
    </w:p>
    <w:p>
      <w:r>
        <w:t>Bundesverwaltungsgericht, 2008-05-08, FR</w:t>
      </w:r>
    </w:p>
    <w:p>
      <w:r>
        <w:rPr>
          <w:b/>
        </w:rPr>
        <w:t xml:space="preserve">Quelle: </w:t>
      </w:r>
      <w:r>
        <w:t>https://mcp.opencaselaw.ch/entscheid/bvger_C-3136_2006</w:t>
      </w:r>
    </w:p>
    <w:p>
      <w:r>
        <w:t>FR: TAF C-3136/2006 du 8 mai 2008</w:t>
      </w:r>
    </w:p>
    <w:p>
      <w:r>
        <w:t>IT: TAF C-3136/2006 del 8 maggio 2008</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compensations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cette loi en vigueur au moment où les faits juridiquement déterminants se sont produits (ATF 130 V 445 et les références). En particulier, les nouvelles dispositions de la LAI entrées en vigueur le 1er janvier 2008 ne sont pas applicables.</w:t>
      </w:r>
    </w:p>
    <w:p>
      <w:r>
        <w:rPr>
          <w:b/>
        </w:rPr>
        <w:t>E. 3.3</w:t>
      </w:r>
    </w:p>
    <w:p>
      <w:r>
        <w:t>Le recourant a présenté sa demande de rente le 31 janvier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31 janvier 2004 (12 mois avant le dépôt de la demande) ou si le droit à une rente était né entre cette date et le 8 novembre 2006, date de la décision attaquée marquant la limite dans le temps du pouvoir d'examen de l'autorité de recours (ATF 129 V 4 consid. 2.1 et 121 V 366 consid. 1b).</w:t>
      </w:r>
    </w:p>
    <w:p>
      <w:r>
        <w:rPr>
          <w:b/>
        </w:rPr>
        <w:t>E. 4</w:t>
      </w:r>
    </w:p>
    <w:p>
      <w:r>
        <w:t>Selon les normes applicables en l'espèce, tout requérant, pour avoir droit à une rente de l'assurance-invalidité suisse, doit remplir cumulativement les conditions suivantes: - être invalide au sens de la LPGA et de la LAI (art. 8 LPGA, 4, 28, 29 al. 1 LAI); -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et les ressortissants suisses qui présentent un degré d'invalidité de 40% au moins, ont droit à un quart de rente en application de l'art. 28 al. 1 LAI à partir du 1er juin 2002 s'ils ont leur domicile et leur résidence habituelle dans un Etat membre de l'UE.</w:t>
      </w:r>
    </w:p>
    <w:p>
      <w:r>
        <w:rPr>
          <w:b/>
        </w:rPr>
        <w:t>E. 5.3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5.4</w:t>
      </w:r>
    </w:p>
    <w:p>
      <w:r>
        <w:t>Conformément à l'art. 29 al. 1 LAI, le droit à une rente naît dès que l'assuré, in casu ressortissant de l'UE,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22 consid. 2; 99 V 99; 96 V 44).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ATF I 342/05 du 27 juillet 2005).</w:t>
      </w:r>
    </w:p>
    <w:p>
      <w:r>
        <w:rPr>
          <w:b/>
        </w:rPr>
        <w:t>E. 5.5</w:t>
      </w:r>
    </w:p>
    <w:p>
      <w:r>
        <w:t>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w:t>
      </w:r>
    </w:p>
    <w:p>
      <w:r>
        <w:rPr>
          <w:b/>
        </w:rPr>
        <w:t>E. 6.1</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6.2</w:t>
      </w:r>
    </w:p>
    <w:p>
      <w:r>
        <w:t>Il résulte du dossier que l'intéressé a travaillé en Suisse depuis 1969 dans l'horlogerie puis dès 2001 comme unique salarié à plein temps de sa propre entreprise jusqu'au 30 octobre 2003 et n'a effectivement plus exercé d'activité à partir du 1er avril 2004 après une période d'incapacité partielle de travail. Il faut donc examiner la documentation médicale au dossier afin d'évaluer l'invalidité du recourant.</w:t>
      </w:r>
    </w:p>
    <w:p>
      <w:r>
        <w:rPr>
          <w:b/>
        </w:rPr>
        <w:t>E. 6.3</w:t>
      </w:r>
    </w:p>
    <w:p>
      <w:r>
        <w:t>Il résulte des avis des médecins consultés par l'intéressé que celui-ci présente principalement un status après accident à l'âge de 3 ans avec paraparésie et séquelles de multiples interventions musculo-tendineuses aux membres inférieurs durant la croissance, une asthénie, une hyperferritinémie, un rétrécissement du canal cervical non majeur sur le plan radiologique mais associé à des séquelles distales, une discopathie C5-C6 avec discrète protrusion disco-ostéophytique postérieure sans contact avec le cordon médullaire, des douleurs ostéomusculaires avec spasticité, des cervicalgies. Ce diagnostic est confirmé par les Drs B._______ et C._______du SMR Suisse romande mais ceux-ci font état de troubles neurologiques non expliqués du fait que l'IRM cervicodorsolombaire de 2003 et cervical de 2005 ne permettent pas de retenir le diagnostic de canal cervical étroit et qu'il n'y a pas de syringomyélie débutante ni de nouvelles compressions expliquant l'aggravation des symptômes, ni de signe de compression médullaire ni radiculaire. Ce diagnostic est également confirmé dans ses grandes lignes et complété par les Drs B._______ et R._______ du CHUV qui font état de cervicarthrose étagée à prédominance C5-C6, cervicobrachialgies bilatérales, possibles troubles thymiques, tremor physiologique avec probable composante fonctionnelle surajoutée, hémochromatose, hypertension artérielle, hypercholestérolémie.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7.2</w:t>
      </w:r>
    </w:p>
    <w:p>
      <w:r>
        <w:t>En l'espèce les rapports médicaux produits par le recourant concluent à l'incapacité de l'intéressé à exercer sa dernière activité de sous-traitance horlogère exercée en position assise ainsi que toute autre activité même adaptée en raison de troubles et limitations fonctionnelles invalidants. Ils relèvent une aggravation des séquelles post-traumatiques de l'accident subi dans son enfance de type neurologique, un périmètre à la marche plus restreint que précédemment, des sursauts permanents des membres inférieurs notamment en position assise, un syndrome pyramidal aux membres inférieurs, des douleurs ostéomusculaires avec spasticité et un tremor. Il appert cependant que l'aggravation du status de l'intéressé avec lequel il a composé durant toute sa carrière professionnelle n'a pas de causes objectives confirmées par les examens effectués et que le tremblement orthostatique primaire (tremor) invoqué par le recourant n'a pas été relevé comme affectant l'intéressé lors des examens tant neurologiques que psychiatriques. Dans son rapport du 12 juillet 2006 le Dr M._______ conclut à l'inexistence de l'aggravation durable de l'état de santé de l'assuré tant au plan neurologique que psychiatrique pouvant mettre en péril ses capacités professionnelles dans son métier d'horloger pleinement adapté à ses limitations physiques sans perte de rendement. Dans un rapport du 27 février 2007 le Dr M._______ fait certes clairement état d'une aggravation temporaire du status de l'intéressé liée à une hyperferritinémie et à un status invalidant temporaire jusqu'à l'obtention d'un équilibre hématologique mais d'une pleine capacité de travail de l'intéressé dans son activité. L'appréciation d'un status non invalidant est également celle des experts mandatés par l'OAIE, les Drs B._______ et R._______, ainsi que des Drs B._______, C._______ et V._______. De son côté le recourant invoque principalement les avis médicaux des Drs G._______, neurologue, et F._______d, généraliste, lequel a décrit avec détails le status de l'intéressé concluant à une incapacité totale de travail. Le Tribunal de céans, vu les rapports d'expertises émanant du CHUV et du Dr Ventura rédigés par des spécialistes experts en leurs domaines, vu leur exhaustivité, vu le fait que le recourant n'a pas produit d'autres expertises contenant une anamnèse divergente mais uniquement des appréciations médicales divergentes fondées sur le constat anamnésique établi par les experts précités, vu les conclusions unanimes des rapports d'experts qui excluent une aggravation durable de l'état de santé du recourant pouvant mettre en péril ses capacités professionnelles dans son activité d'horloger compte tenu d'un aménagement ergonomique, si besoin est, de son poste de travail, conclut au bien fondé du rejet de la demande de rente d'invalidité et au rejet de la requête en nouveaux examens, ceux effectués étant complets, seule leur interprétation ayant été sujette à discussion. Mal fondé le recours est ainsi rejeté.</w:t>
      </w:r>
    </w:p>
    <w:p>
      <w:r>
        <w:rPr>
          <w:b/>
        </w:rPr>
        <w:t>E. 8</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cf. aussi Alfred Maurer, Schweizerisches Sozialversicherungsrecht, vol. II, Berne 1981, p. 377; Ulrich Meyer-Blaser, Zum Verhältnismässigkeitsgrundsatz im staatlichen Leistungsrecht, thèse Berne 1985, p. 131).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(ATF du 28 janvier 2005 dans la cause F. [I 175/04] consid. 3; VSI 1999 p. 247 consid. 1; Pratique VSI 1998 p. 296 consid. 3b).</w:t>
      </w:r>
    </w:p>
    <w:p>
      <w:r>
        <w:rPr>
          <w:b/>
        </w:rPr>
        <w:t>E. 9.1</w:t>
      </w:r>
    </w:p>
    <w:p>
      <w:r>
        <w:t>Selon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L'alinéa suivant, repris quant au principe par l'art. 37 al. 4 LPGA, énonce que l'autorité de recours, son président ou le juge instructeur attribue en outre un avocat à cette partie si la sauvegarde de ses droits le requiert. Le droit à l'assistance judiciaire gratuite qui comprend la dispense des frais de justice et, cas échéant, le bénéfice d'un mandataire d'office (assistance juridique), si les conditions du droit sont remplies, est consacré explicitement par l'art. 29 al. 3 de la Constitution fédérale du 18 avril 1999 (Cst., RS 101). Sont visées toutes les procédures dans laquelle le requérant est impliqué ou qu'il doit entreprendre pour faire valoir ses droits. Le droit est subordonné à l'indigence du requérant, que son affaire ne soit pas manifestement dépourvue de succès, qu'elle présente des difficultés particulières et qu'elle soit pour l'intéressé d'une certaine importance (Andres Auer / Giorgio Malinverni / Michel Hottelier, Droit constitutionnel suisse II, 2ème éd., Berne 2006, n° 1582 ss; Moor, op. cit., p. 296). Le critère de l'indigence est rempli lorsque la personne ne dispose pas de ressources suffisantes, qu'elle ne peut faire face aux frais de justice et aux frais d'avocat sans entamer son minimum vital et celui de sa famille (ATF 128 I 225 consid. 2,5.1; 127 I 202 consid. 3b). Il appartient au requérant de donner des informations complètes sur sa situation économique, preuves à l'appui. Le critère de la chance de succès ne doit pas être apprécié de façon particulièrement sévère. Le droit à l'assistance juridique suppose ainsi que les chances de succès et les risques d'échec se tiennent à peu près en balance. Selon le TF, il convient de se demander si une personne raisonnable et de condition aisée accepterait ou renoncerait à s'engager dans un procès en raison des frais qu'elle s'exposerait à devoir supporter (ATF 129 I 129 consid. 2.2.2; 128 I 225 consid. 2.5.3). La détermination des chances de succès ne peut être que sommaire, en cas de doute l'assistance judiciaire est accordée. Le critère de la nécessité matérielle relève d'une appréciation objective et subjective de la difficulté de la procédure à laquelle est confronté le requérant, indépendamment du fait que la procédure se déroule selon la maxime d'office (ATF 119 Ia 264 consid. 3b). Le critère de l'importance matérielle implique que le résultat du recours ait une certaine incidence matérielle, soit d'une certaine importance sur la situation du requérant.</w:t>
      </w:r>
    </w:p>
    <w:p>
      <w:r>
        <w:rPr>
          <w:b/>
        </w:rPr>
        <w:t>E. 9.2</w:t>
      </w:r>
    </w:p>
    <w:p>
      <w:r>
        <w:t>En l'espèce, le recourant a requis l'assistance judiciaire et présenté sa situation patrimoniale. Il appert notamment de la documentation produite que le recourant dispose de revenus supérieurs de quelque Euro 350.- à ses charges mensuelles, qu'étant propriétaire d'une villa - non grevée - de trois appartements (dont celui qu'il occupe) il n'a pas de charge de loyer ou de service de la dette auprès d'un établissement tiers et que, de plus, la société inactive dont il est l'associé principal à raison de 19 parts sur 20 dispose de liquidités d'au moins Fr. 17'305.- au 31 décembre 2007 (pas d'indication sur le poste caisse important au 31.12.2006) et d'un ou plusieurs véhicules, en principe non utilisés et pouvant être vendus, dont la valeur comptable, proche de celle de marché, s'élève à Fr. 24'500.-. Il s'ensuit de la situation patrimoniale décrite que le recourant ne peut se voir accorder l'assistance judiciaire, ses frais de représentation n'allant pas entamer son minimum vital.</w:t>
      </w:r>
    </w:p>
    <w:p>
      <w:r>
        <w:rPr>
          <w:b/>
        </w:rPr>
        <w:t>E. 10</w:t>
      </w:r>
    </w:p>
    <w:p>
      <w:r>
        <w:t>Bien que la décision dont est recours ait été rendue après le 1er juillet 2006, entrée en vigueur de l'art. 69 al. 2 LAI soumettant la procédure de recours en matière de contestations portant sur l'octroi ou le refus de prestations de l'AI devant le Tribunal administratif fédéral à des frais de procédure, il n'est en l'espèce pas requis de frais de procédure en application de la pratique du Tribunal de céans s'agissant de recours introduits avant le 1er janvier 2007. Vu l'issue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