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C-3132/2008 vom 17. August 2010</w:t>
      </w:r>
    </w:p>
    <w:p>
      <w:r>
        <w:t>Bundesverwaltungsgericht, 2010-08-17, DE</w:t>
      </w:r>
    </w:p>
    <w:p>
      <w:r>
        <w:rPr>
          <w:b/>
        </w:rPr>
        <w:t xml:space="preserve">Quelle: </w:t>
      </w:r>
      <w:r>
        <w:t>https://mcp.opencaselaw.ch/entscheid/bvger_C-3132_2008</w:t>
      </w:r>
    </w:p>
    <w:p>
      <w:r>
        <w:t>FR: TAF C-3132/2008 du 17 août 2010</w:t>
      </w:r>
    </w:p>
    <w:p>
      <w:r>
        <w:t>IT: TAF C-3132/2008 del 17 agosto 2010</w:t>
      </w:r>
    </w:p>
    <w:p>
      <w:pPr>
        <w:pStyle w:val="Heading2"/>
      </w:pPr>
      <w:r>
        <w:t>Regeste</w:t>
      </w:r>
    </w:p>
    <w:p>
      <w:r>
        <w:t>Zuteilung zu den Prämientarifen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UVG ausdrücklich geregelt und vorliegend gegeben.</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2.1</w:t>
      </w:r>
    </w:p>
    <w:p>
      <w:r>
        <w:t>Die Beschwerde wurde frist- und formgerecht eingereicht (vgl. Art. 38 ff. und Art. 60 ATSG, Art. 52 VwVG). Als Adressatin des Einspracheentscheides ist die Beschwerdeführerin durch die angefochtene Verfügung berührt und sie hat ein schutzwürdiges Interesse an deren Aufhebung oder Abänderung (vgl. Art. 59 ATSG, Art. 48 Abs. 1 VwVG). Auf die Beschwerde ist deshalb, nachdem auch der Kostenvorschuss fristgerecht geleistet wurde,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w:t>
      </w:r>
    </w:p>
    <w:p>
      <w:r>
        <w:t>Die Beschwerdeführerin rügt, die Begründung des angefochtenen Entscheids sei mangelhaft und zudem irreführend, weil auf Gutheissung erkannt werde, obwohl den Anträgen nicht vollumfänglich entsprochen worden sei.</w:t>
      </w:r>
    </w:p>
    <w:p>
      <w:r>
        <w:rPr>
          <w:b/>
        </w:rPr>
        <w:t>E. 3.1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(BGE 134 I 83 E. 4.1 mit Hinweisen, vgl. auch Art. 35 Abs. 1 VwVG, Art. 49 Abs. 3 ATSG).</w:t>
      </w:r>
    </w:p>
    <w:p>
      <w:r>
        <w:rPr>
          <w:b/>
        </w:rPr>
        <w:t>E. 3.1.1</w:t>
      </w:r>
    </w:p>
    <w:p>
      <w:r>
        <w:t>Nach der Rechtsprechung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BGE 135 III 513 E. 3.6.5). Die Behörde hat ihre Überlegungen der Partei gegenüber namhaft zu machen und sich dabei ausdrücklich mit den (entscheidwesentlichen) Einwänden auseinanderzusetzen oder aber zumindest die Gründe anzugeben, weshalb sie gewisse Gesichtspunkte nicht berücksichtigen kann (Urteil BGer 8C_40/2010 vom 5. März 2010 E. 3.2 mit Hinweisen).</w:t>
      </w:r>
    </w:p>
    <w:p>
      <w:r>
        <w:rPr>
          <w:b/>
        </w:rPr>
        <w:t>E. 3.1.2</w:t>
      </w:r>
    </w:p>
    <w:p>
      <w:r>
        <w:t>Die Anforderungen an die Begründung sind umso höher, je weiter der Entscheidungsspielraum der entscheidenden Behörde und je komplexer die Sach- und Rechtslage ist (ULRICH HÄFELIN/GEORG MÜLLER/FELIX UHLMANN, Allgemeines Verwaltungsrecht, 5. Aufl., Zürich 2006, N. 1707 mit Hinweis; Urteil des Eidgenössischen Versicherungsgerichts I 3/05 vom 17. Juni 2005, publiziert in SVR 2006 IV Nr. 27 E. 3.2.3 f.).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(BVGE 2007/27 E. 9.3).</w:t>
      </w:r>
    </w:p>
    <w:p>
      <w:r>
        <w:rPr>
          <w:b/>
        </w:rPr>
        <w:t>E. 3.2</w:t>
      </w:r>
    </w:p>
    <w:p>
      <w:r>
        <w:t>Der Anspruch auf rechtliches Gehör ist formeller Natur. Dessen Verletzung führt grundsätzlich ungeachtet der Erfolgsaussichten der Beschwerde in der Sache selbst zur Aufhebung der angefochtenen Verfügung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Die ausnahmsweise Heilung einer Verletzung der Begründungspflicht setzt zudem voraus, dass entweder die Rechtsmittelbehörde eine hinreichende Begründung liefert oder die unterinstanzliche Behörde anlässlich der Anfechtung ihres Entscheides eine genügende Begründung nachgeschoben hat, etwa in der Vernehmlassung (vgl. Urteil BVGer A-5466/2008 vom 3. Juni 2009 E. 2.1.4 mit Hinweisen, Urteil BVGer C-676/2008 vom 21. Juli 2009 E. 3.2; Bernhard Waldmann/Jörg Bickel, in: Praxiskommentar VwVG, Art. 29 N. 118).</w:t>
      </w:r>
    </w:p>
    <w:p>
      <w:r>
        <w:rPr>
          <w:b/>
        </w:rPr>
        <w:t>E. 3.3</w:t>
      </w:r>
    </w:p>
    <w:p>
      <w:r>
        <w:t>Der angefochtene Entscheid enthält keine Ausführungen zu den im konkreten Fall angewendeten (und mehrheitlich nicht veröffentlichten) Regeln zur Einreihung in die Prämientarife BUV und NBUV. Es wird auch nicht auf die in der Einsprache gestellten Anträge (betreffend Mischsatz aus den Klassen 60F und 15D sowie zum Bonus-Malus-System) eingegangen, obwohl diese einleitend aufgeführt werden. Erst aus der im Beschwerdeverfahren eingereichten Vernehmlassung geht hervor, wie die Vorinstanz den hohen Büroanteil (als besondere Betriebsverhältnisse) berücksichtigt hat und weshalb kein Bonus-Malus-System zur Anwendung kommt. Die Beschwerdeführerin rügt daher zu Recht eine mangelnde Begründung des Einspracheentscheides.</w:t>
      </w:r>
    </w:p>
    <w:p>
      <w:r>
        <w:rPr>
          <w:b/>
        </w:rPr>
        <w:t>E. 3.3.1</w:t>
      </w:r>
    </w:p>
    <w:p>
      <w:r>
        <w:t>Das Bundesverwaltungsgericht hat - in Weiterführung der Rechtsprechung der Eidgenössischen Rekurskommission für die Unfallversicherung (REKU) - bereits mehrmals festgehalten, dass der Begründungspflicht bei Einreihungen in den Prämientarif eine hohe Bedeutung zukommt, insbesondere wenn es um die Berücksichtigung von besonderen Betriebsverhältnissen geht (BVGE 2007/27 E. 9, Urteil BVGer C-376/2008 vom 27. November 2009 E. 6.2). Es müssen die im konkreten Fall anwendbaren generell-abstrakten Regeln dargelegt werden, wann und wie besondere Betriebsverhältnisse zu berücksichtigen sind. Der betroffene Betrieb muss nachprüfen können, ob die massgebenden Regeln in seinem Fall korrekt angewendet wurden.</w:t>
      </w:r>
    </w:p>
    <w:p>
      <w:r>
        <w:rPr>
          <w:b/>
        </w:rPr>
        <w:t>E. 3.3.2</w:t>
      </w:r>
    </w:p>
    <w:p>
      <w:r>
        <w:t>Vorliegend wiegt die Gehörsverletzung besonders schwer, weil im angefochtenen Entscheid weder die generell-abstrakten Regeln bekannt gegeben, noch deren individuell-konkrete Umsetzung erläutert werden. Zudem wurden die Vorbringen des Betriebes offenbar nur teilweise zur Kenntnis genommen bzw. überprüft, sonst hätte die Vorinstanz erkennen müssen, dass sie den gestellten Anträgen nicht vollständig entsprochen und die Einsprache demnach nur teilweise gutgeheissen hat.</w:t>
      </w:r>
    </w:p>
    <w:p>
      <w:r>
        <w:rPr>
          <w:b/>
        </w:rPr>
        <w:t>E. 3.4</w:t>
      </w:r>
    </w:p>
    <w:p>
      <w:r>
        <w:t>Wie sich aus den nachfolgenden Erwägungen ergibt, führt im vorliegenden Fall eine Rückweisung nicht zu einem formalistischen Leerlauf, zumal auch die Voraussetzungen für die Heilung einer nicht besonders schwerwiegenden Gehörsverletzung nicht erfüllt sind.</w:t>
      </w:r>
    </w:p>
    <w:p>
      <w:r>
        <w:rPr>
          <w:b/>
        </w:rPr>
        <w:t>E. 3.4.1</w:t>
      </w:r>
    </w:p>
    <w:p>
      <w:r>
        <w:t>Die Vorinstanz hat zwar im Beschwerdeverfahren eine Begründung nachgeschoben und erläutert, wie die mit dem Einspracheentscheid festgesetzten Prämiensätze berechnet wurden. Die Begründung erfüllt jedoch die Anforderungen nach wie vor nicht, weil nicht ausgeführt wird, auf welche generell-abstrakten Regeln (insbesondere Schwellwerte und Grundsätze, mit welchem Anteil die besonderen Betriebsverhältnisse zu berücksichtigen sind) sich der Entscheid stützt. Nach der Rechtsprechung sollte aus der Entscheidbegründung - selbst wenn diese aufgrund der gegebenen Umstände kurz sein darf - zumindest die angewandte Rechtsgrundlage bzw. der von der Behörde als erfüllt erachtete Tatbestand hervorgehen (BGE 131 II 200 E. 4.3). Sind die massgebenden Bestimmungen jedoch wie vorliegend nicht in einer Gesetzessammlung publiziert bzw. dürfen sie nicht als bereits bekannt vorausgesetzt werden, müssen diese zwingend in der Begründung aufgeführt werden (vgl. FELIX UHLMANN/ALEXANDRA SCHWANK, in: Bernhard Waldmann/Philippe Weissenberger [Hrsg.], Praxiskommentar VwVG, Zürich 2009 [im Folgenden: Praxiskommentar VwVG], Art. 35 N. 35). Anzufügen bleibt, dass sich auch den mit der Vernehmlassung eingereichten Auszügen aus der - nicht veröffentlichten - Prämien-Wegleitung der Suva zur Klasse 15D (Akt. 10/9 und 10/10) die angewandten Regeln zur Berücksichtigung der besonderen Betriebsverhältnisse nicht entnehmen lassen. Die Beschwerdeführerin kann somit nach wie vor nicht überprüfen, ob die einschlägigen Bestimmungen in ihrem Fall richtig angewendet wurden.</w:t>
      </w:r>
    </w:p>
    <w:p>
      <w:r>
        <w:rPr>
          <w:b/>
        </w:rPr>
        <w:t>E. 3.4.2</w:t>
      </w:r>
    </w:p>
    <w:p>
      <w:r>
        <w:t>Für eine Rückweisung sprechen sodann die bereits in BVGE 2007/27 E. 10.2 - 10.4 dargelegten Gründe (insbesondere liegen auch dem Gericht nicht alle im vorliegenden Fall anwendbaren generell-abstrakten Regelungen vor) sowie der Umstand, dass das Gericht - trotz entsprechender Aufforderung - nicht über die vollständigen Akten verfügt.</w:t>
      </w:r>
    </w:p>
    <w:p>
      <w:r>
        <w:rPr>
          <w:b/>
        </w:rPr>
        <w:t>E. 4.1</w:t>
      </w:r>
    </w:p>
    <w:p>
      <w:r>
        <w:t>Das Bundesverwaltungsgericht fordert die Vorinstanzen gestützt auf Art. 57 Abs. 1 VwVG regelmässig auf, die Akten - nummeriert und in einem Aktenverzeichnis aufgenommen - einzureichen. Die Vorakten sind der Beschwerdeinstanz innerhalb der angesetzten Frist vollständig auszuhändigen (vgl. ANDRÉ MOSER, in: Auer/Müller/Schindler [Hrsg.], Kommentar zum Bundesgesetz über das Verwaltungsverfahren [VwVG], Zürich 2008, Art. 57 N. 13, FRANK SEETHALER/KASPAR PLÜSS, Praxiskommentar VwVG, Art. 57 N. 7).</w:t>
      </w:r>
    </w:p>
    <w:p>
      <w:r>
        <w:rPr>
          <w:b/>
        </w:rPr>
        <w:t>E. 4.1.1</w:t>
      </w:r>
    </w:p>
    <w:p>
      <w:r>
        <w:t>Die Aktenführungspflicht der Verwaltungsbehörden ergibt sich aus dem Untersuchungsgrundsatz (PATRICK L. KRAUSKOPF/KATRIN EMMENEGGER, Praxiskommentar VwVG, Art. 12 N. 42) und ist zugleich Voraussetzung für die Wahrnehmung der aus dem Anspruch auf rechtliches Gehör fliessenden Garantie des Akteneinsichtsrechts (UELI KIESER, ATSG-Kommentar, 2. Aufl., Zürich 2009, Art. 46 N. 2, BERNHARD WALDMANN/MAGNUS OESCHGER, Praxiskommentar VwVG, Art. 26 N. 34). Art. 46 ATSG verpflichtet die Versicherungsträger, für jedes Sozialversicherungsverfahren alle Unterlagen, die massgeblich sein können, systematisch zu erfassen. Die Akten müssen vollständig und nach festgelegten, zweckmässigen Kriterien - bspw. in chronologischer Reihenfolge - erfasst werden (vgl. KIESER, a.a.O., N. 13, KRAUSKOPF/EMMENEGGER, a.a.O., Art. 12 N. 44). Systematisch erfasste Akten erlauben es der Beschwerdeinstanz, nachzuvollziehen, wie die Sachverhaltsabklärung erfolgt und der Weg der Entscheidfindung verlaufen ist (KIESER, ebenda).</w:t>
      </w:r>
    </w:p>
    <w:p>
      <w:r>
        <w:rPr>
          <w:b/>
        </w:rPr>
        <w:t>E. 4.1.2</w:t>
      </w:r>
    </w:p>
    <w:p>
      <w:r>
        <w:t>Der Aufforderung des Gerichts, die systematisch erfassten Akten einzureichen, sollte die Vorinstanz aufgrund ihrer Aktenführungspflicht demnach ohne Weiteres nachkommen können.</w:t>
      </w:r>
    </w:p>
    <w:p>
      <w:r>
        <w:rPr>
          <w:b/>
        </w:rPr>
        <w:t>E. 4.2</w:t>
      </w:r>
    </w:p>
    <w:p>
      <w:r>
        <w:t>Die von der Vorinstanz mit der Vernehmlassung eingereichten bzw. am 28. April 2010 nachgereichten Unterlagen betreffen - in zeitlicher Hinsicht - lediglich die Einreihung in die Prämientarife ab Januar 2008. Mit Eingabe vom 27. Mai 2010 wurden zudem - auf entsprechende Nachfrage des Gerichts - die in Rechtskraft erwachsenen Einreihungsverfügungen für die Jahre 2006 und 2007 eingereicht (Akt. 21). Bei den dem Gericht zur Verfügung gestellten Unterlagen handelt es sich nicht um systematisch geführte (vollständige) Akten.</w:t>
      </w:r>
    </w:p>
    <w:p>
      <w:r>
        <w:rPr>
          <w:b/>
        </w:rPr>
        <w:t>E. 4.2.1</w:t>
      </w:r>
    </w:p>
    <w:p>
      <w:r>
        <w:t>In ihrer Einsprache vom 26. Oktober 2007 (Akt. 19/5) liess die Beschwerdeführerin, bereits damals vertreten durch die Z._______ AG, zur Begründung unter anderem Folgendes ausführen: "Im Vorfeld dieser Prämienverfügungen fanden verschiedene telefonische Besprechungen zwischen Ihrem Revisor, Herrn B._______, unserem Klienten, Herrn C._______ und dem Unterzeichnenden statt. Herr B._______ hat uns dabei gebeten, Ihnen zwecks Überprüfung der Tarifeinreihung die aktuelle Tätigkeit der Firmen X._______ und Y._______ im Allgemeinen und jene der einzelnen Mitarbeiter und der Mitarbeiterin im Besonderen mitzuteilen." Abschliessend steht: "Andernfalls (wenn den gestellten Anträgen nicht entsprochen wird) behalten wir uns vor, die Prämien aufgeteilt auf die beiden Rechtsträger X._______ AG = Büro und Y._______ AG = Elektrotechnik abzurechnen."</w:t>
      </w:r>
    </w:p>
    <w:p>
      <w:r>
        <w:rPr>
          <w:b/>
        </w:rPr>
        <w:t>E. 4.2.2</w:t>
      </w:r>
    </w:p>
    <w:p>
      <w:r>
        <w:t>Den Akten lässt sich weder etwas zu den erwähnten telefonischen Besprechungen noch zu den Feststellungen der Suva betreffend X._______ AG in Abgrenzung zur Y._______ AG (im Handelsregister eingetragen am 14. Mai 2007) entnehmen. Die beiden Gesellschaften sind personell eng verflochten (vgl. Handelsregisterauszüge sowie Homepages www._______, www._______ [besucht am 23.3.2010]). Aus den Akten ist jedoch nicht ersichtlich, ob die von der Y._______ AG angebotenen Dienstleistungen von den Mitarbeitenden der X._______ AG erbracht werden (insbesondere Liftservice). Betriebe im Sinne von Art. 66 Abs. 1 UVG sind obligatorisch der Suva unterstellt, weshalb es nicht im Ermessen der Beschwerdeführerin steht, die Prämien nur über eine oder über beide Gesellschaften abzurechnen. Auf entsprechende Nachfrage des Gerichts teilte die Suva mit Schreiben vom 27. Mai 2010 mit, die Y._______ AG werde als sogenannter NV-Betrieb geführt, was bedeute, dass der Betrieb abgeklärt werde oder bereits abgeklärt worden sei und zur Zeit nicht bei der Suva versichert sei (Akt. 21).</w:t>
      </w:r>
    </w:p>
    <w:p>
      <w:r>
        <w:rPr>
          <w:b/>
        </w:rPr>
        <w:t>E. 4.2.3</w:t>
      </w:r>
    </w:p>
    <w:p>
      <w:r>
        <w:t>Massgebend für die Zuteilung eines Betriebes zu einer Risikogemeinschaft (Klasse bzw. Unterklassenteil) sind die ausgeübten Tätigkeiten, weshalb regelmässig eine Betriebsbeschreibung aufgenommen wird. Die von der Suva eingereichten Akten enthalten eine - weder vom zuständigen Suva-Mitarbeiter noch vom Betrieb unterzeichnete - Betriebsbeschreibung vom 29. Mai 2007 (oder vom 20. Juni 2007) mit dem Vermerk "alt" (Akt. 19/2) und eine weitere, handschriftlich korrigierte Fassung derselben mit dem Vermerk "neu" sowie folgender Anmerkung: "Korrektur-BB von X._______, Herr C._______ erhalten, aufgrund der tel. Besprechung von Insp. B._______ mit Hr. C._______, X._______. 12.9.2007 _______" (Akt. 19/3). Über die Umstände der Aufnahme der "alten" Betriebsbeschreibung und den Anlass für die Korrektur lässt sich den Akten nichts entnehmen.</w:t>
      </w:r>
    </w:p>
    <w:p>
      <w:r>
        <w:rPr>
          <w:b/>
        </w:rPr>
        <w:t>E. 4.2.4</w:t>
      </w:r>
    </w:p>
    <w:p>
      <w:r>
        <w:t>Unklar ist zudem, ob der von der Y._______ AG angebotene Liftservice in der Betriebsbeschreibung der X._______ AG - unter der mit 19 % veranschlagten Tätigkeit "Reparatur, Service von Erzeugnissen der Elektrotechnik (Elektromaschinen, -apparate und -geräte)" - erfasst wurde.</w:t>
      </w:r>
    </w:p>
    <w:p>
      <w:r>
        <w:rPr>
          <w:b/>
        </w:rPr>
        <w:t>E. 4.3</w:t>
      </w:r>
    </w:p>
    <w:p>
      <w:r>
        <w:t>Zusammenfassend ist festzuhalten, dass das Bundesverwaltungsgericht die Rechtmässigkeit des angefochtenen Entscheids aufgrund der vorliegenden Akten selbst dann nicht überprüfen könnte, wenn die festgestellte Gehörsverletzung einer Heilung zugänglich wäre. Der angefochtene Entscheid ist deshalb aufzuheben und die Sache ist im Sinne der Erwägungen an die Vorinstanz zurückzuweisen. Die Beschwerde ist somit im Eventualantrag gutzuheissen.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 führenden Partei (BGE 132 V 215 E. 6). Der von der Beschwerdeführerin geleistete Kostenvorschuss ist daher zurück zu erstatten. Den Vorinstanzen werden keine Verfahrenskosten auferlegt (Art. 63 Abs. 2 VwVG).</w:t>
      </w:r>
    </w:p>
    <w:p>
      <w:r>
        <w:rPr>
          <w:b/>
        </w:rPr>
        <w:t>E. 5.2</w:t>
      </w:r>
    </w:p>
    <w:p>
      <w:r>
        <w:t>Die Beschwerdeführerin hat gemäss Art. 64 Abs. 1 VwVG in Verbindung mit Art. 7 ff.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(vgl. Art. 14 Abs. 2 VGKE). Unter Berücksichtigung des gebotenen und aktenkundigen Aufwandes erscheint eine Entschädigung von Fr. 2'000.- (einschliesslich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