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C-3131/2020 vom 28. Januar 2021</w:t>
      </w:r>
    </w:p>
    <w:p>
      <w:r>
        <w:t>Bundesverwaltungsgericht, 2021-01-28, DE</w:t>
      </w:r>
    </w:p>
    <w:p>
      <w:r>
        <w:rPr>
          <w:b/>
        </w:rPr>
        <w:t xml:space="preserve">Quelle: </w:t>
      </w:r>
      <w:r>
        <w:t>https://mcp.opencaselaw.ch/entscheid/bvger_C-3131_2020</w:t>
      </w:r>
    </w:p>
    <w:p>
      <w:r>
        <w:t>FR: TAF C-3131/2020 du 28 janvier 2021</w:t>
      </w:r>
    </w:p>
    <w:p>
      <w:r>
        <w:t>IT: TAF C-3131/2020 del 28 gennaio 2021</w:t>
      </w:r>
    </w:p>
    <w:p>
      <w:pPr>
        <w:pStyle w:val="Heading2"/>
      </w:pPr>
      <w:r>
        <w:t>Regeste</w:t>
      </w:r>
    </w:p>
    <w:p>
      <w:r>
        <w:t>Rente</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Infolge Gewährung der unentgeltlichen Verbeiständung wird Rechtsanwalt lic. iur. Abdullah Karakök nach Rechtskraft des vorliegenden Urteils zu Lasten der Gerichtskasse eine Parteientschädigung von Fr. 1'000.- (inkl. Auslagen und Mehrwertsteuerzuschlag) ausgerichtet.</w:t>
      </w:r>
    </w:p>
    <w:p>
      <w:r>
        <w:rPr>
          <w:b/>
        </w:rPr>
        <w:t>E. 4</w:t>
      </w:r>
    </w:p>
    <w:p>
      <w:r>
        <w:t>Dieser Entscheid geht an: - den Beschwerdeführer (Gerichtsurkunde; Beilage: Formular Zahladresse) - die Vorinstanz (Ref-Nr. [...];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