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C-312/2010 vom 18. August 2011</w:t>
      </w:r>
    </w:p>
    <w:p>
      <w:r>
        <w:t>Bundesverwaltungsgericht, 2011-08-18, DE</w:t>
      </w:r>
    </w:p>
    <w:p>
      <w:r>
        <w:rPr>
          <w:b/>
        </w:rPr>
        <w:t xml:space="preserve">Quelle: </w:t>
      </w:r>
      <w:r>
        <w:t>https://mcp.opencaselaw.ch/entscheid/bvger_C-312_2010</w:t>
      </w:r>
    </w:p>
    <w:p>
      <w:r>
        <w:t>FR: TAF C-312/2010 du 18 août 2011</w:t>
      </w:r>
    </w:p>
    <w:p>
      <w:r>
        <w:t>IT: TAF C-312/2010 del 18 agosto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betreffend Zustimmung oder Verweigerung der Zustimmung zur Erteilung bzw. Verlängerung einer Aufenthaltsbewilligung und betreffend Wegweisung. Sofern kein Anspruch auf Erteilung bzw. Verlängerung einer Aufenthaltsbewilligung besteht und insoweit als die Verfügung die Wegweisung anordnet, entscheidet das Bundesverwaltungsgericht endgültig (Art. 83 Bst. c Ziff. 2 und 4 des Bundesgerichtsgesetzes vom 17. Juni 2005 [BGG, SR 173.110]).</w:t>
      </w:r>
    </w:p>
    <w:p>
      <w:r>
        <w:rPr>
          <w:b/>
        </w:rPr>
        <w:t>E. 1.2</w:t>
      </w:r>
    </w:p>
    <w:p>
      <w:r>
        <w:t>Das Verfahren richtet sich nach dem VwVG soweit das Ver­waltungsgerichtsgesetz nichts anderes bestimmt (Art. 37 VGG).</w:t>
      </w:r>
    </w:p>
    <w:p>
      <w:r>
        <w:rPr>
          <w:b/>
        </w:rPr>
        <w:t>E. 1.3</w:t>
      </w:r>
    </w:p>
    <w:p>
      <w:r>
        <w:t>Der Beschwerdeführer ist als Verfügungsbetroffener zur Erhe­bung des Rechtsmittels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des Bundesgerichts 2A.451/2002 vom 28. März 2003 teilweise publiziert in BGE 129 II 215). 3.Am 1. Januar 2008 traten das neue AuG in Kraft und mit ihm unter anderem auch die Verordnung vom 24. Oktober 2007 über Zulassung, Aufenthalt und Erwerbstätigkeit (VZAE, SR 142.201). In Verfahren, die vor diesem Zeitpunkt anhängig gemacht wurden, wie es vorliegend der Fall ist (Einreichung des Gesuchs am 25. April 2006, Ablauf der letzten kantonalen Bewilligung am 14. Juni 2006; vgl. oben Bst. B),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ANAG,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 was insbesondere bezüglich der Wegweisung gilt (vgl. Urteil des Bundesverwaltungsgerichts C-5268/2008 vom 1. Juni 2011 E. 3 in fine mit Hinweis). 4.4.1 Die Kantone sind zuständig für die Erteilung und Verlängerung von Bewilligungen (vgl. Art. 15 Abs. 1 und Art. 18 ANAG sowie Art. 51 BVO). Vorbehalten bleibt jedoch die Zustimmung durch das BFM. Das Zustimmungserfordernis ergibt sich im vorliegenden Fall aus Art. 1 Abs. 1 Bst. a der Zustimmungsverordnung in Verbindung mit den Weisungen und Erläuterungen des BFM über Einreise, Aufenthalt und Arbeitsmarkt (ANAG-Weisungen, 3. Auflage, Bern, Mai 2006. Im Internet unter: www.bfm.admin.ch &gt; Dokumentation &gt; rechtliche Grundlagen &gt; Weisungen und Kreisschreiben &gt; Archiv Weisungen und Kreisschreiben). Letztere sehen in Ziffer 132.4 Bst. e vor, dass die Verlängerung der Aufenthaltsbewilligung einer ausländischen Person nach der Scheidung vom schweizerischen Ehegatten oder nach dessen Tod dem BFM zur Zustimmung zu unterbreiten ist, sofern die ausländische Person nicht aus einem Mitgliedstaat der EFTA oder der EG stammt. Gemäss Art. 19 Abs. 5 ANAV darf eine entsprechende kantonale Bewilligung erst ausgestellt werde, wenn die Zustimmung des BFM vorliegt; ansonsten ist sie ungültig. 4.2 Die Ehe zwischen dem Beschwerdeführer und seiner Schweizer Ehegattin wurde geschieden, bevor er gestützt auf Art. 7 Abs. 1 Satz 2 ANAG einen zivilstandsunabhängigen Anspruch auf Verlängerung seiner Aufenthaltsbewilligung erworben hatte (vgl. BGE 128 II 145 E. 1.1.4 mit Hinweisen - welcher auch die vom Beschwerdeführer zu dieser Norm vertretene Auffassung widerlegt [vgl. oben Bst. K]). 4.3 Eine andere Anspruchsgrundlage des Landes- oder Völkerrechts besteht nicht. Insofern der Beschwerdeführer geltend macht, Art. 50 Abs. 1 Bst. a AuG sei anzuwenden, wird auf E. 3 und 4.2 verwiesen. Bei dieser Rechtslage liegt der Entscheid über die Erteilung oder Verweigerung der Zustimmung im pflichtgemässen Ermessen des BFM (vgl. Art. 4 ANAG). 5.Der Begriff der "pflichtgemässen Ermessensausübung" impliziert die Beachtung rechtlicher Schranken bei der Ausfüllung der Ermessensspielräume. Vorliegend steht der Grundsatz der Verhältnismässigkeit von Verwaltungsakten im Vordergrund. Unter diesem Gesichtspunkt ist eine wertende Abwägung vorzunehmen zwischen dem öffentlichen Interesse an der Verweigerung der Zustimmung einerseits und den durch die Verweigerung beeinträchtigten privaten Interessen der betroffenen Person andererseits (vgl. Urteil des Bundesverwaltungsgerichts C-5268/2008 vom 1. Juni 2011 E. 5 mit Hinweis). 5.1 Was das öffentliche Interesse anbelangt, ist festzuhalten, dass die Schweiz hinsichtlich des Aufenthaltes von Ausländerinnen und Ausländern, die nicht aus dem EU/EFTA-Raum stammen (nachfolgend Drittstaatsangehörige), eine restriktive Politik verfolgt (vgl. BGE 135 I 153 E. 2.2.1 mit Hinweisen).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erreicht. Nach der Auflösung der Ehe, die sie von den restriktiven qualitativen und quantitativen Zulassungsvoraussetzungen der Begrenzungsverordnung ausnehmen,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C-5268/2008 vom 1. Juni 2011 E. 5.1 mit Hinweis). 5.2 Unter dem Aspekt der Verhältnismässigkeit ist zu prüfen, ob das private Interesse an einem weiteren Verbleib in der Schweiz höher zu gewichten ist, als das oben dargelegte öffentliche Interesse an der Durchsetzung einer restriktiven Einwanderungspolitik.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Sind Kinder vorhanden, ist deren Alter und schulische Integration mit einzubeziehen. Zu berücksichtigen sind aber auch die Unterkunft und die Reintegrationsmöglichkeiten in der Heimat. Andererseits sind auch ehespezifische Elemente, wie die Dauer der Ehe und die Umstände, die zur Auflösung geführt haben, zu beachten. 5.3 Welcher Grad an Betroffenheit in den persönlichen Verhältnissen verlangt werden muss, damit das öffentliche Interesse zurückzustehen hat, ist mit Blick auf die Regelung von Art. 7 Abs. 1 ANAG zu beantworten, der ausländischen Ehegatten von Schweizern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der Existenz gemeinsamer Kinder. Je mehr diese Elemente ins Gewicht fallen, umso eher wird man von einer hinreichend schweren Betroffenheit ausgehen können. Umgekehrt rechtfertigt sich ein umso strengerer Massstab, als sich die Härtesituation nicht aus den oben genannten ehespezifischen Elementen ableiten lässt.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 (vgl. Urteil des Bundesverwaltungsgerichts C-2524/2007 vom 13. August 2010 E. 4.3 mit Hinweis).</w:t>
      </w:r>
    </w:p>
    <w:p>
      <w:r>
        <w:rPr>
          <w:b/>
        </w:rPr>
        <w:t>E. 6.1</w:t>
      </w:r>
    </w:p>
    <w:p>
      <w:r>
        <w:t>Der Beschwerdeführer lebte während sieben Monaten mit seiner Schweizer Ehefrau tageweise zusammen. Die gerichtliche Bewilligung zum Getrenntleben erfolgte nur gerade sieben Monate nach der Heirat. Drei Jahre und knapp vier Monate später wurde die Ehe geschieden. Gemäss den mündlichen Angaben der Ehefrau vom 31. August 2006 gegenüber der kantonalen Migrationsbehörde, sei ihre Ehe ein Reinfall gewesen. Bereits zwei Wochen nach der Hochzeit habe es Terror gegeben. Ihr Ehemann habe sie angelogen und Dinge versprochen, die er nicht eingehalten habe. Auch habe er ihre drei Kinder von Anfang an nicht akzeptiert. Weiter habe er von ihr verlangt, zu seinen Eltern zu ziehen. Sie sei seiner Aufforderung jedoch nicht nachgekommen. Anschliessend habe er angekündigt, er werde bei ihr einziehen, was er hingegen nicht getan habe. Er habe nie wirklich mit ihr zusammen gewohnt und nur manchmal einige Tage bei ihr verbracht. Zudem habe sie nicht das Gefühl gehabt, er habe sie wirklich geliebt. Sie freue sich auf die Scheidung, denn dann könne sie endlich ihren Freund, mit dem sie seit einem Jahr zusammen sei, heiraten. Der Beschwerdeführer seinerseits führte in seiner Stellungnahme vom 15. September 2006 aus, das Zusammenleben sei für die Kinder seiner Ehefrau nicht einfach gewesen. Seine Ehefrau habe sich deshalb von ihm trennen wollen. Sie hätten sich in der Folge den Kindern zu liebe getrennt und nicht etwa wegen ehelichen Problemen.</w:t>
      </w:r>
    </w:p>
    <w:p>
      <w:r>
        <w:rPr>
          <w:b/>
        </w:rPr>
        <w:t>E. 6.2</w:t>
      </w:r>
    </w:p>
    <w:p>
      <w:r>
        <w:t>Aufgrund der Akten ist davon auszugehen, dass die unterschiedlichen Auffassungen der Ehegatten über die Lebensführung sowie Kommunikationsschwierigkeiten zur Trennung und anschliessenden Scheidung geführt haben. Dass sich ein Ehepaar aufgrund unterschiedlicher Lebensauffassungen auseinanderlebt, scheint aufgrund der allgemeinen Lebenserfahrung nicht ungewöhnlich. Eine Scheidung ist ein angemessenes und legitimes Mittel, mit solchen Pro­blemen umzugehen.</w:t>
      </w:r>
    </w:p>
    <w:p>
      <w:r>
        <w:rPr>
          <w:b/>
        </w:rPr>
        <w:t>E. 6.3</w:t>
      </w:r>
    </w:p>
    <w:p>
      <w:r>
        <w:t>Irgendwelche Besonderheiten im Zusammenhang mit dem Scheitern der Ehe, die es in vorliegendem Zusammenhang zu berücksichtigen gäbe, sind nicht bekannt. Die Umstände der Auflösung der Ehe sind demnach ebenso wenig geeignet, die Anforderungen an die Betroffenheit zu senken, wie die Dauer der ehelichen Gemeinschaft, sofern man denn in casu von einer solchen ausgehen will. Zudem blieb die Ehe kinderlos. Es ist daher von einem strengen Massstab auszugehen. 7.7.1 Der Beschwerdeführer hält sich mittlerweile seit sieben Jahren in der Schweiz auf. Er war während seines ganzen Aufenthaltes arbeitstätig und kam selbständig für seinen Lebensunterhalt auf. Aus dem eingereichten Arbeitszeugnis geht hervor, dass er von seinem Arbeitgeber sehr geschätzt wird. Gemäss seinen Angaben hatte er noch keine Zeit für einen Deutschkurs. Seine Deutschkenntnisse seien jedoch gut genug, um den Arbeitsalltag zu bestreiten. Weiter bringt er vor, er habe seinen Lebensmittelpunkt in der Schweiz und habe hier viele Freunde. Die Aufenthaltsdauer von sieben Jahren ist angesichts dessen, dass der Beschwerdeführer erst mit knapp 28 Jahren in die Schweiz gekommen ist, nicht als sehr lang anzusehen. In beruflicher und wirtschaftlicher Hinsicht hat er sich im zu erwartenden Mass in die hiesigen Verhältnisse eingelebt. Ebenso ist er gemäss seinen Angaben sozial gut integriert. Insgesamt unterscheidet sich der Integrationsgrad des Beschwerdeführers jedoch nicht von dem, was von einer ausländischen Person nach vergleichbarem Aufenthalt verlangt werden kann. 7.2 Sodann stellt sich die Frage, ob es dem Beschwerdeführer zuzumuten ist, sein Leben hier in der Schweiz aufzugeben und in sein Heimatland zurückzukehren. Der Beschwerdeführer hat sein Heimatland erst im Alter von knapp 28 Jahren verlassen und ist mit den dortigen Verhältnissen deshalb noch gut vertraut. Er hat den weitaus grössten und prägenden Teil seines Lebens - darunter seine gesamte Schulzeit, eine Berufsausbildung, Berufserfahrung und Militärdienst - in der Heimat verbracht. Seine Eltern und seine drei Brüder leben in Ankara, wo auch der Beschwerdeführer vor seinem Aufenthalt in der Schweiz zusammen mit seinen Eltern gelebt hat. Zudem ist aus den Akten ersichtlich, dass er sich in den Jahren 2006 bis 2010 insgesamt siebeneinhalb Monate aus privaten Gründen in seiner Heimat aufgehalten hat. Gemäss seinen Angaben in der Anhörung zu den Asylgründen vom 8. Dezember 2003 hat er nach der Sekundarschule drei Jahre das Industrie- und Berufsgymnasium in P._______ besucht und im Jahr 1995 abgeschlossen. Anschliessend absolvierte er ein einjähriges Praktikum als Motorbauer. Weiter konnte der Beschwerdeführer in der Schweiz berufliche Erfahrungen sammeln, welche ihm bei der Wiedereingliederung ins Erwerbsleben in der Türkei von Nutzen sein dürften. Es kann somit davon ausgegangen werden, dass er mit seinen Qualitäten ein Erwerbsauskommen finden kann und dabei von seiner Familie unterstützt wird. 7.3 Zusammenfassend ergibt sich, dass der Beschwerdeführer durch den Verlust des Aufenthaltsrechts in der Schweiz zwar in seinen persönlichen Verhältnissen getroffen wird. Der Eingriff kann je­doch nicht als derart schwer angesehen werden, dass dem privaten In­teresse an der weiteren Regelung des Aufenthaltes gegenüber dem öf­fentlichen Interesse an der Durchsetzung der restriktiven Migrationspolitik - Personen aus dem Nicht-EFTA/EU-Raum betreffend - im Rahmen einer pflichtgemässen Ermessensausübung und auf der Grund­lage des zur Anwendung gelangenden strengen Beurteilungs­massstabs Vorrang eingeräumt werden könnte. Die Ver­weigerung der Zustimmung durch die Vorinstanz ist daher nicht zu beanstan­den. 8.8.1 Aus der Rechtmässigkeit der Zustimmungsverweigerung folgt ohne Weite­res die Rechtmässigkeit der Wegweisung aus der Schweiz (vgl. Art. 64 Abs. 1 Bst. c AuG in der Fassung gemäss Art. 2 Ziff. 1 des Bundesbe­schlusses vom 18. Juni 2010 betreffend die Übernahme der EG-Rückfüh­rungs­richtlinie [Richtlinie 2008/115/EG], in Kraft seit 1. Januar 2011, der dem zeitgleich aufgehobenen Art. 66 Abs. 1 AuG in der Fas­sung vom 16. Dezember 2005 [AS 2007 5437] entspricht). Demzufolge bleibt zu prüfen, ob Hinderungsgründe für den Vollzug der Wegweisung anzunehmen sind (Art. 83 Abs. 2 bis 4 AuG) und das BFM deshalb gestützt auf Art. 83 Abs. 1 AuG die vorläufige Aufnahme hätte verfügen müssen. 8.2 Gemäss Art. 83 AuG ist der Vollzug der Wegweisung nicht möglich, wenn die ausländische Person weder in den Heimat- oder in den Herkunftsstaat noch in einen Drittstaat ausreisen oder dorthin gebracht werden kann (Abs. 2). Er ist nicht zulässig, wenn völkerrechtliche Verpflichtungen der Schweiz eine Weiterreise der ausländischen Person in den Heimat-, Herkunfts- oder in einen Drittstaat entgegenstehen (Abs. 3). Er kann für ausländische Personen unzumutbar sein, wenn sie in Situationen wie Krieg, Bürgerkrieg, allgemeiner Gewalt und medizinischer Notlage im Heimat- oder Herkunftsstaat konkret gefährdet sind (Abs. 4). 8.3 Weder aus den Vorbringen des Beschwerdeführers noch aus den Akten gehen Elemente hervor, die auf die Unmöglichkeit oder Unzulässigkeit des Wegweisungsvollzugs hindeuten würden. 8.4 Für die Voraussetzungen der Unzumutbarkeit des Wegweisungsvollzugs kann auf die zutreffenden Ausführungen in der angefochtenen Verfügung (S. 6f.) verwiesen werden. Die Beschwerdeschrift enthält keine expliziten Ausführungen zur Frage der Unzumutbarkeit des Wegweisungsvollzugs. Die Ausführungen im Allgemeinen und die Gesamtumstände lassen, wie oben dargelegt, den Schluss nicht zu, dass die Rückkehr des Beschwerdeführers in die Türkei zu einer besonderen persönlichen Härte führen würde. Auch in dieser Hinsicht ist die angefochtene Verfügung zu Recht ergangen. 9.Abschliessend ist festzuhalten, dass die angefochtene Verfügung im Lichte von Art. 49 VwVG nicht zu beanstanden ist. Die Beschwerde ist deshalb abzuweisen. 10.Entsprechend dem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