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C-312/2008 vom 9. November 2009</w:t>
      </w:r>
    </w:p>
    <w:p>
      <w:r>
        <w:t>Bundesverwaltungsgericht, 2009-11-09, IT</w:t>
      </w:r>
    </w:p>
    <w:p>
      <w:r>
        <w:rPr>
          <w:b/>
        </w:rPr>
        <w:t xml:space="preserve">Quelle: </w:t>
      </w:r>
      <w:r>
        <w:t>https://mcp.opencaselaw.ch/entscheid/bvger_C-312_2008</w:t>
      </w:r>
    </w:p>
    <w:p>
      <w:r>
        <w:t>FR: TAF C-312/2008 du 9 novembre 2009</w:t>
      </w:r>
    </w:p>
    <w:p>
      <w:r>
        <w:t>IT: TAF C-312/2008 del 9 novembre 2009</w:t>
      </w:r>
    </w:p>
    <w:p>
      <w:pPr>
        <w:pStyle w:val="Heading2"/>
      </w:pPr>
      <w:r>
        <w:t>Regeste</w:t>
      </w:r>
    </w:p>
    <w:p>
      <w:r>
        <w:t>Assicurazione per l'invalidità (AI)</w:t>
      </w:r>
    </w:p>
    <w:p>
      <w:pPr>
        <w:pStyle w:val="Heading2"/>
      </w:pPr>
      <w:r>
        <w:t>Erwägungen</w:t>
      </w:r>
    </w:p>
    <w:p>
      <w:r>
        <w:rPr>
          <w:b/>
        </w:rPr>
        <w:t>E. 14</w:t>
      </w:r>
    </w:p>
    <w:p>
      <w:r>
        <w:t>Di conseguenza, il ricorso deve essere respinto e la decisione impugnata confermata.</w:t>
      </w:r>
    </w:p>
    <w:p>
      <w:r>
        <w:rPr>
          <w:b/>
        </w:rPr>
        <w:t>E. 15</w:t>
      </w:r>
    </w:p>
    <w:p>
      <w:r>
        <w:t>Secondo l'art. 63 cpv. 1 PA, le spese processuali sono di regola messe a carico della parte soccombente. In concreto, visto l'esito della procedura che vede il ricorrente soccombere, le spese processuali di Fr. 300.- sono poste a carico di quest'ultimo e compensate con l'anticipo dello stesso ammontare, versato il 25 giugno 2008. In conformità con l'art. 64 cpv. 1 PA, l'autorità di ricorso, se ammette il ricorso in tutto o in parte, può assegnare al ricorrente una indennità per le spese indispensabili e relativamente elevate che ha sopportato (spese ripetibili). Visto l'esito della procedura, non si assegnano al ricorrente indennità per spese ripetibili. Per quanto concerne l'UAIE, le autorità federali non hanno diritto ad un'indennità a titolo di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