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C-3127/2010 vom 1. Juli 2011</w:t>
      </w:r>
    </w:p>
    <w:p>
      <w:r>
        <w:t>Bundesverwaltungsgericht, 2011-07-01, DE</w:t>
      </w:r>
    </w:p>
    <w:p>
      <w:r>
        <w:rPr>
          <w:b/>
        </w:rPr>
        <w:t xml:space="preserve">Quelle: </w:t>
      </w:r>
      <w:r>
        <w:t>https://mcp.opencaselaw.ch/entscheid/bvger_C-3127_2010</w:t>
      </w:r>
    </w:p>
    <w:p>
      <w:r>
        <w:t>FR: TAF C-3127/2010 du 1 juillet 2011</w:t>
      </w:r>
    </w:p>
    <w:p>
      <w:r>
        <w:t>IT: TAF C-3127/2010 del 1 luglio 2011</w:t>
      </w:r>
    </w:p>
    <w:p>
      <w:pPr>
        <w:pStyle w:val="Heading2"/>
      </w:pPr>
      <w:r>
        <w:t>Regeste</w:t>
      </w:r>
    </w:p>
    <w:p>
      <w:r>
        <w:t>Einreiseverbot</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wenn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 3.1 Hinsichtlich der vom Beschwerdeführer als Beweismassnahme beantragten gerichtlichen Befragung seines Freundes K._______ ist Folgendes festzuhalten: Der Behörde kommt grundsätzlich die Pflicht zu, den rechtserheblichen Sachverhalt von Amtes wegen zu ermitteln (Art. 12 VwVG). Die Behörde ist verpflichtet, die von den Parteien angebotenen Beweise abzunehmen,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der Bundesverfassung der Schweizerischen Eidgenossenschaft vom 18. April 1999 (BV, SR 101) zu verletzen (vgl. zum Ganzen BGE 136 I 229 E. 5.3 S. 236 mit Hinweis). Überdies handelt es sich bei der Zeugeneinvernahme gemäss Art. 14 VwVG um ein subsidiäres Beweismittel; eine solche darf - der besonderen Voraussetzungen und Folgen wegen - nur ausnahmsweise angeordnet werden (vgl. dazu Urteil des Bundesgerichts 1C_427/2008 vom 2. Februar 2009 E. 2.2). 3.2 Der entscheiderhebliche Sachverhalt erschliesst sich, wie nachfolgend zu zeigen sein wird, in hinreichender Weise aus den Akten. Von der beantragten Befragung von K._______ kann daher in antizipierter Beweiswürdigung ohne Verletzung des Anspruchs auf rechtliches Gehör abgesehen werden. Zudem hat der Beschwerdeführer die Gelegenheit wahrgenommen, dem Gericht eine schriftliche Stellungnahme seines Freundes einzureichen. 4.1 Das in Art. 67 des Bundesgesetzes über die Ausländerinnen und Ausländer vom 16. Dezember 2005 (AuG, SR 142.20) geregelte Einreiseverbot entspricht der altrechtlichen Einreisesperre des Art. 13 des Bundesgesetzes vom 26. März 1931 über Aufenthalt und Niederlassung der Ausländer (ANAG, AS 49 279).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von Fernhaltemassnahmen ist mit den obgenannten Grundsätzen vereinbar (vgl. BBl 2009 8896 ad Art. 67 Abs. 3 in fine), weswegen sich für den Beschwerdeführer im Ergebnis nichts ändert (Urteil des Bundesverwaltungsgerichts C-820/2009 vom 9. März 2011 E. 5.1 mit Hinweis). 4.2 Wie bereits die altrechtliche Einreisesperre ist das Einreiseverbot keine Sanktion für vergangenes Fehlverhalten, sondern eine Massnahme zur Abwendung einer künftigen Störung der öffentlichen Sicherheit und Ordnung (siehe Botschaft zum Bundesgesetz über die Ausländerinnen und Ausländer vom 8. März 2002, BBl 2002 3813). Die öffentliche Sicherheit und Ordnung im Sinne von Art. 67 Abs. 2 Bst. a AuG (welcher der alten Fassung von Art. 67 Abs. 1 Bst. a AuG entspricht) bildet den Oberbegriff für die Gesamtheit der polizeilichen Schutzgüter. Sie umfasst unter anderem die Unverletzlichkeit der objektiven Rechtsordnung und der Rechtsgüter Einzelner (BBl 2002 3809; vgl. auch RAINER J. SCHWEIZER/PATRICK SUTTER/NINA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Somit kann die vorliegende Rechtsgutverletzung als Teil der objektiven Rechtsordnung ein Einreiseverbot nach sich ziehen, allerdings nicht als Sanktion, sondern als Massnahme zum Schutz künftiger Störungen (vgl. BBl 2002 3813). 4.3 Zum Zeitpunkt des Erlasses des Einreiseverbots war gegen den Beschwerdeführer beim Untersuchungsamt Altstätten ein Strafverfahren hängig. Das Einreiseverbot seinerseits hat ordnungsrechtlichen Charakter und soll einer künftigen Störung der öffentlichen Sicherheit und Ordnung vorbeugen, nicht aber ein bestimmtes Verhalten im strafrechtlichen Sinne ahnden. Strafrechtliche und fremdenpolizeiliche Massnahmen sind nicht nur voneinander unabhängig, sondern bedingen sich gegenseitig auch nicht. Sie beruhen vielmehr auf unterschiedlicher gesetzlicher Grundlage und verfolgen verschiedene Zielsetzungen, so dass ein Verhalten in massnahmerechtlicher Hinsicht grösseres Gewicht als in strafrechtlicher Hinsicht haben kann (vgl. BGE 109 Ib 177 E. 1 S. 179 mit Hinweis). Ein Einreiseverbot kann auch dann ergehen, wenn ein rechtskräftiges Strafurteil fehlt, sei es weil ein Strafverfahren nicht eröffnet wurde oder noch hängig ist. Demzufolge genügte es im vorliegenden Zusammenhang, wenn die Vorinstanz aufgrund der Würdigung der Akten und Beweismittel zur Überzeugung gelangte, dass hinreichende Anhaltspunkte für die Erfüllung der Voraussetzungen eines Einreiseverbots bestanden. 4.4 Mit rechtskräftigem Urteil des Strafgerichts Basel-Stadt vom 18. August 2010 wurde der Beschwerdeführer wegen Förderung der rechtswidrigen Einreise verurteilt. Die Voraussetzungen für ein Einreiseverbot gemäss Art. 67 Abs. 1 Bst. a AuG in der Fassung vom 1. Januar 2008 bzw. Art. 67 Abs. 2 Bst. a AuG in der Fassung vom 1. Januar 2011 sind - entgegen der Ansicht des Beschwerdeführers - daher zweifelsohne erfüllt.</w:t>
      </w:r>
    </w:p>
    <w:p>
      <w:r>
        <w:rPr>
          <w:b/>
        </w:rPr>
        <w:t>E. 5</w:t>
      </w:r>
    </w:p>
    <w:p>
      <w:r>
        <w:t>War somit ein entsprechender Grund zur Verhängung einer Fernhaltemassnahme gegeben, so bleibt zu prüfen, ob das Einreiseverbot von seiner Dauer her in richtiger Ausübung des Ermessens ergangen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ULRICH HÄFELIN/GEORG MÜLLER/FELIX UHLMANN, Allgemeines Verwaltungsrecht, 5. Aufl., Zürich/Basel/Genf 2006, Rz 613 ff.).</w:t>
      </w:r>
    </w:p>
    <w:p>
      <w:r>
        <w:rPr>
          <w:b/>
        </w:rPr>
        <w:t>E. 5.1</w:t>
      </w:r>
    </w:p>
    <w:p>
      <w:r>
        <w:t>Das öffentliche Interesse an einer uneingeschränkten Einhaltung der fremdenpolizeilichen Ordnung ist ganz allgemein hoch zu veranschlagen, und es entspricht der gängigen Praxis, wenn bei der Förderung der rechtswidrigen Einreise einer Person in die Schweiz eine zweijährige Einreisesperre angeordnet wird. An persönlichen Interessen macht der Beschwerdeführer in seiner Rechtsmitteleingabe und später geltend, er würde sich gerne wieder um eine Stelle als Lastwagenchauffeur bewerben. Da er in H._______ und somit unmittelbar an der Grenze zur Schweiz wohne, sei das Einreiseverbot bei der Stellensuche hinderlich, da er keine Fahrten in die Schweiz machen könne. Zudem wohne sein Bruder in Basel.</w:t>
      </w:r>
    </w:p>
    <w:p>
      <w:r>
        <w:rPr>
          <w:b/>
        </w:rPr>
        <w:t>E. 5.2</w:t>
      </w:r>
    </w:p>
    <w:p>
      <w:r>
        <w:t>Eine wertende Gewichtung der sich entgegenstehenden Interessen führt das Bundesverwaltungsgericht zum Schluss, dass das zweijährige Einreiseverbot auch im gegenwärtigen Zeitpunkt eine verhältnismässige und angemessene Massnahme zum Schutz der öffentlichen Ordnung darstellt. Es ist dem Beschwerdeführer zuzumuten, bis Ende März 2012 einer anderen als der gewünschten Erwerbstätigkeit nachzugehen, oder gegebenenfalls auf Berufsfahrten in die Schweiz zu verzichten, sah die Vorinstanz doch von einer Ausschreibung im SIS-System ab. Es steht ihm zudem die Möglichkeit offen, aus wichtigen Gründen mittels Gesuch die zeitweilige Suspension der angeordneten Fernhaltemassnahme zu beantragen (Art. 67 Abs. 5 AuG). Die Suspension wird aber praxisgemäss nur für eine kurze und klar begrenzte Zeit gewährt (vgl. Urteil des Bundesverwaltungsgerichts C-2681/2010 vom 6. Mai 2011 E. 6.3 mit Hinweis). Der Kontakt zwischen ihm und seinem in der Schweiz lebenden Bruder kann im Übrigen auch auf andere Weise als durch Besuche in der Schweiz gepflegt werden (Briefverkehr, Videotelefonie, Telefonate oder durch Besuche seines Bruders in Österreich).</w:t>
      </w:r>
    </w:p>
    <w:p>
      <w:r>
        <w:rPr>
          <w:b/>
        </w:rPr>
        <w:t>E. 6</w:t>
      </w:r>
    </w:p>
    <w:p>
      <w:r>
        <w:t>Gegenstand des vorliegenden Verfahrens ist lediglich das Einreiseverbot. Für die Forderung des Beschwerdeführers, ihm das anlässlich der Befragung durch die Kantonspolizei St. Gallen geleistete Bussen- und Kostendepositum in der Höhe von Fr. 180.-- zurückzuerstatten, ist der Beschwerdeführer an die zuständige Amtsstelle zu verweisen.</w:t>
      </w:r>
    </w:p>
    <w:p>
      <w:r>
        <w:rPr>
          <w:b/>
        </w:rPr>
        <w:t>E. 7</w:t>
      </w:r>
    </w:p>
    <w:p>
      <w:r>
        <w:t>Aus diesen Erwägungen ergibt sich, dass die angefochtene Verfügung im Lichte von Art. 49 VwVG nicht zu beanstanden ist. Die Beschwerde ist somit abzuweisen.</w:t>
      </w:r>
    </w:p>
    <w:p>
      <w:r>
        <w:rPr>
          <w:b/>
        </w:rPr>
        <w:t>E. 8</w:t>
      </w:r>
    </w:p>
    <w:p>
      <w:r>
        <w:t>Dem Ausgang des Verfahrens entsprechend wird der unterliegende Beschwerdeführer kostenpflichtig (Art. 63 Abs. 1 VwVG). Die Verfahrenskosten sind auf Fr. 800.- festzusetzen (Art. 1, Art. 2 und Art. 3 Bst. b des Reglements vom 21. Februar 2008 über die Kosten und Entschädigungen vor dem Bundesverwaltungsgericht [VGKE, SR 173.320.2]). Dem nachträglich gestellten Gesuch um Erlass der Verfahrenskosten im Sinne von Art. 65 Abs. 1 VwVG ist nicht stattzugeben, waren doch die Rechtsbegehren - sowohl ex ante wie ex post betrachtet - als aussichtslos einzustufen.</w:t>
      </w:r>
    </w:p>
    <w:p>
      <w:r>
        <w:rPr>
          <w:b/>
        </w:rPr>
        <w:t>E. 9</w:t>
      </w:r>
    </w:p>
    <w:p>
      <w:r>
        <w:t>Das vorliegende Urteil ist endgültig (Art. 83 Bst. c Ziff. 1 des Bundesgerichtsgesetzes vom 17. Juni 2005 [BGG, SR 173.110]).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