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C-3124/2009 vom 24. August 2011</w:t>
      </w:r>
    </w:p>
    <w:p>
      <w:r>
        <w:t>Bundesverwaltungsgericht, 2011-08-24, FR</w:t>
      </w:r>
    </w:p>
    <w:p>
      <w:r>
        <w:rPr>
          <w:b/>
        </w:rPr>
        <w:t xml:space="preserve">Quelle: </w:t>
      </w:r>
      <w:r>
        <w:t>https://mcp.opencaselaw.ch/entscheid/bvger_C-3124_2009</w:t>
      </w:r>
    </w:p>
    <w:p>
      <w:r>
        <w:t>FR: TAF C-3124/2009 du 24 août 2011</w:t>
      </w:r>
    </w:p>
    <w:p>
      <w:r>
        <w:t>IT: TAF C-3124/2009 del 24 agosto 2011</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(ATF 130 V 445 consid. 1.2). Selon la jurisprudence, le juge n'a pas à prendre en considération les modifications du droit ou de l'état de fait postérieures à la date déterminante de la décision litigieuse (ATF 129 V 1 consid. 1.2; ATF I 274/05 du 21 mars 2006 consid. 1.1). La décision entreprise ayant été rendue le 3 avril 2009, le droit éventuel à des prestations de l'assurance-invalidité doit être examiné en fonction et des modifications de la LAI consécutives à l'entrée en vigueur le 1er janvier 2008, de la 5e révision de cette loi (RO 2007 p. 5147). Cela étant, la 5e révision de la LAI, n'a pas modifié la notion d'invalidité, ni la manière d'évaluer le taux d'invalidité.</w:t>
      </w:r>
    </w:p>
    <w:p>
      <w:r>
        <w:rPr>
          <w:b/>
        </w:rPr>
        <w:t>E. 4</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trois années au total - dont au moins une en Suisse - auprès d'une assurance sociale assimilée d'un Etat membre de l'Union européenne (UE) ou de l'Association européenne de libre échange (FF 2005 p. 4291; art. 45 du règlement [CEE] 1408/71). En l'occurrence, le recourant remplit la condition liée à la durée minimale de cotisations. Il reste dès lors à examiner si l'intéressé pouvait être qualifié d'invalide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6.1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le refus de prestations AI repose sur le diagnostic corroboré par la documentation médicale de trouble somatoforme douloureux, fibromyalgie, lésion dégénérative des rotateurs et hyperostose vertébrale idiopathique (maladie de Forestier) et dysthymie. Les conséquences de ces atteintes à la santé sur la capacité de travail du recourant sont diversement appréciées par les différents médecins appelés à se prononcer sur les aptitudes résiduelles de l'assuré. La Dresse B._______ exclut la reprise de l'activité de cordonnier tout en estimant exigible - sans en préciser la mesure - l'exercice d'une activité adaptée. Le Dr D._______ dans son rapport du 21 janvier 2007 écarte quant à lui la réalisation de toute activité nécessitant un effort susceptible de provoquer une tension d'ordre mécanique. Le Dr E._______ partage l'avis que la pratique de l'ancienne profession n'est plus possible et note de nombreuses limitations et/ou impossibilités dans les tâches de sa vie quotidienne. Le Dr F._______, médecin à l'OAIE, observe que les éléments objectifs de l'atteinte à la santé que sont la lésion dégénérative de la coiffe des rotateurs et la maladie de Forestier ne justifient pas une incapacité de travail et que la comorbidité psychiatrique - critère déterminant pour reconnaître un caractère invalidant à un syndrome douloureux somatoforme persistant (cf. ATF 130 V 352) - n'est pas documenté. Ainsi selon lui, l'activité de cordonnier reste compatible.</w:t>
      </w:r>
    </w:p>
    <w:p>
      <w:r>
        <w:rPr>
          <w:b/>
        </w:rPr>
        <w:t>E. 8.2</w:t>
      </w:r>
    </w:p>
    <w:p>
      <w:r>
        <w:t>Selon la jurisprudence, des troubles somatoformes douloureux peuvent conduire à une incapacité de travail dans certaines circonstances exceptionnelles, au premier plan desquelles figure la présence d'une comorbidité psychiatrique importante par sa gravité, son acuité et sa durée (cf. ATF 130 V 352). Toutefois, il existe une présomption que cette affection ou ses effets peuvent être surmontés par un effort de volonté raisonnablement exigible. De tels troubles entrent dans la catégorie des affections psychiques pour lesquelles une expertise psychiatrique est en principe nécessaire quand il s'agit d'évaluer l'incapacité de travail qu'ils sont susceptibles d'entraîner (VSI 2000p. 160; ATF 130 V 352 consid. 2.2.2). Il en va de même pour la fibromyalgie - comme de tous les syndromes sans pathogenèse ni étiologie claires et sans constat de déficit organique (cf. ATF 137 V 54 consid. 4-5 et références citées) - quand bien même ce diagnostic est d'abord le fait d'un médecin rhumatologue (ATF 132 V 65 consid. 4.3). De surcroît un tel diagnostic doit s'appuyer lege artis sur les critères d'un système de classification reconnue (cf. ATF 130 V 396 consid. 5.3 et 6). La jurisprudence prescrit également que lorsque des indices sérieux au sujet d'une éventuelle souffrance psychique invalidante ressortent du dossier, une investigation psychiatrique est nécessaire afin de clarifier la situation et de définir précisément l'état de santé de l'assuré (cf. arrêt du Tribunal fédéral I 260/00 du 29 novembre 2000 consid. 3a; Susanne Fankhauser, Sachverhaltabklärung in der Invalidenversicherung - ein Gleichbehandlungsproblem, Zuerich-Bâle-Genève 2010, p.126). Cette clarification ne se justifie pas en cas de simple divergence entre les plaintes subjectives de l'assuré et les observations objectives (Fankhauser, op. cit.). On peut également y renoncer s'il apparaît avec certitude que les troubles psychiques sont purement réactifs à l'état somatique.</w:t>
      </w:r>
    </w:p>
    <w:p>
      <w:r>
        <w:rPr>
          <w:b/>
        </w:rPr>
        <w:t>E. 8.3</w:t>
      </w:r>
    </w:p>
    <w:p>
      <w:r>
        <w:t>En l'espèce, aucune expertise psychiatrique ne figure au dossier. Outre l'expertise E 213, le seul rapport médical établi dans les règles de l'art et le respect de la jurisprudence précitée (cf. consid. 7.3) est celui du Dr E._______, qui n'est pas titulaire d'une spécialisation en psychiatrie (sur la qualification de l'expert cf. arrêt du TF I 779/01 du 16 octobre 2002 consid. 4.1). Ainsi, le Dr F._______ a parfaitement raison lorsqu'il relève que la comorbidité psychiatrique n'est pas prouvée, mais il revient à l'autorité de diligenter une expertise à ce sujet, et non de se contenter d'écarter promptement la requête, puisqu'une certaine souffrance psychique dépassant la simple dysthymie ressort clairement du dossier (rapports du 22 septembre 2009 du Dr E._______ et rapport du Dr D._______ du 12 août 2008). Dans ce contexte, il sied de relever que le durcissement depuis 2004 des critères permettant de reconnaître un caractère invalidant aux maladies présentant des tableaux clinique diffus sans déficit fonctionnel organique ne dispense pas l'autorité d'instruire à satisfaction les demandes de prestations relevant de ces catégories. Il est vrai que compte tenu des conditions strictes posées par la jurisprudence, il est difficile d'atteindre de ce seul fait le taux d'invalidité de 40% ouvrant le droit à une rente. Toutefois, les résultats des expertises menées dans les règles de l'art sont en général mieux acceptés par les assurés (cf. arrêt du TF 9C_243/2010 du 28 juin 2011 consid. 3.4.2.6). Il importe donc, de pouvoir écarter en toute connaissance de cause, cas échéant, une demande de rente AI basée sur de telles atteintes.</w:t>
      </w:r>
    </w:p>
    <w:p>
      <w:r>
        <w:rPr>
          <w:b/>
        </w:rPr>
        <w:t>E. 9</w:t>
      </w:r>
    </w:p>
    <w:p>
      <w:r>
        <w:t>Compte tenu de ce qui précède, le recours doit être partiellement admis et la décision litigieuse du 3 avril 2009 annulée. S'agissant d'élucider une question nécessaire non réglée (cf. arrêt du TF 9C_243/2010 du 28 juin 2011 consid. 4.4.1.4), la cause peut être renvoyée à l'autorité inférieure (art. 61 PA) afin qu'elle mette en oeuvre une expertise pluridisciplinaire intégrant l'avis d'un psychiatre avant de prononcer une nouvelle décision. Dans ce cadre-là, il incombera à l'expert psychiatre de déterminer, à partir de bases objectives, si et dans quelle mesure le recourant dispose de ressources psychiques lui permettant de surmonter ses douleurs et de réintégrer un processus de travail, ce que le dossier, en l'état, ne permet pas de trancher.</w:t>
      </w:r>
    </w:p>
    <w:p>
      <w:r>
        <w:rPr>
          <w:b/>
        </w:rPr>
        <w:t>E. 10.1</w:t>
      </w:r>
    </w:p>
    <w:p>
      <w:r>
        <w:t>Vu l'issue du litige, il n'est pas perçu de frais de procédure (art. 63 al. 1 et 2 PA). En conséquence, l'avance de frais de Fr. 400.- déjà versée par le recourant lui sera restituée sur le compte bancaire qu'il aura désigné, une fois le présent arrêt entré en force.</w:t>
      </w:r>
    </w:p>
    <w:p>
      <w:r>
        <w:rPr>
          <w:b/>
        </w:rPr>
        <w:t>E. 10.2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reputée avoir obtenu gain de cause lorsque la cause est renvoyée à l'administration pour instruction complémentaire et nouvelle décision (ATF 132 V 215 consid. 6.2). En l'espèce, le travail accompli par la représentante du recourant en instance de recours a consisté principalement dans la rédaction d'un recours de 2 pages accompagné d'un bordereau de copies de 20 pièces et d'une réplique de 1 page et demie accompagnée d'un bordereau de copies de 9 pièces. Il se justifie, eu égard à ce qui précède, de lui allouer une indemnité à titre de dépens de Fr. 650.-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