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C-3122/2009 vom 16. November 2009</w:t>
      </w:r>
    </w:p>
    <w:p>
      <w:r>
        <w:t>Bundesverwaltungsgericht, 2009-11-16, DE</w:t>
      </w:r>
    </w:p>
    <w:p>
      <w:r>
        <w:rPr>
          <w:b/>
        </w:rPr>
        <w:t xml:space="preserve">Quelle: </w:t>
      </w:r>
      <w:r>
        <w:t>https://mcp.opencaselaw.ch/entscheid/bvger_C-3122_2009</w:t>
      </w:r>
    </w:p>
    <w:p>
      <w:r>
        <w:t>FR: TAF C-3122/2009 du 16 novembre 2009</w:t>
      </w:r>
    </w:p>
    <w:p>
      <w:r>
        <w:t>IT: TAF C-3122/2009 del 16 novembre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unterliegt die Beschwerdeführerin als philippinische Staatsangehörige der Visumspflicht.</w:t>
      </w:r>
    </w:p>
    <w:p>
      <w:r>
        <w:rPr>
          <w:b/>
        </w:rPr>
        <w:t>E. 6.1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6.2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Auf den Philippinen sind breite Bevölkerungsschichten von vergleichsweise kargen wirtschaftlichen und sozialen Lebensbedingungen betroffen. Wiederkehrende politische Turbulenzen und die hohe Staats- und Auslandverschuldung haben das Land in der Entwicklung und im Vergleich zu den Nachbarländern zurückgeworfen. In den letzten Jahren befand es sich zwar auf einem stabilen Wachstumspfad mit Wachstumsraten von durchschnittlich 6%. Dennoch ist es der Regierung nicht gelungen, die Armut zu reduzieren. Nach Angaben der Weltbank ist der Anteil der unter der Armutsgrenze lebenden Bevölkerung im Gegenteil sogar von 30% im Jahr 2003 auf 33% im Jahr 2006 angestiegen, und dies gegen den Trend der Südostasien-Region, in der die Armut allgemein rückläufig ist. Auch die Arbeitslosigkeit bleibt ein drängendes Problem. Im Jahr 2008 ist die Arbeitslosenrate zwar weitgehend stabil geblieben (7,4% geschätzt); zu den offiziellen Arbeitslosen kommen jedoch ca. 21% Unterbeschäftigte (Quelle: Länder- und Reiseinformationen auf der Webseite des deutschen Auswärtigen Amtes: www.auswaertiges-amt.de &gt; Länder, Reisen und Sicherheit &gt; Philippinen &gt; Wirtschaft, Stand: Oktober 2009, besucht am 5. November 2009). Entsprechend hoch ist der Anteil jener, die zeitweise oder auf Dauer ins Ausland emigrieren wollen, um dort unter günstigeren Lebensbedingungen eine bessere Existenz aufbauen zu können. Sogar die Regierung fördert gezielt die Entsendung von Gastarbeitern ins Ausland; einerseits, um den heimischen Arbeitsmarkt zu entlasten, andererseits auch, um Devisen zu erwirtschaften und den Inlandkonsum anzukurbeln. Mittlerweile verlassen über 1 Mio. Menschen jährlich die Philippinen, um im Ausland Arbeit zu suchen (vgl. Auswärtiges Amt, a.a.O.). Vor dem aufgezeigten wirtschaftlichen Hintergrund ist - vor allem in der jüngeren Bevölkerung - ein starker Migrationsdruck festzustellen. Dabei gilt auch die Schweiz als Zielland vieler Auswanderer im erwerbsfähigen Alter, welche sich hier unter besseren Lebensbedingungen eine (neue) Existenz aufbauen möchten. Die Tendenz zur Auswanderung wird erfahrungsgemäss dort noch begünstigt, wo bereits ein soziales Beziehungsnetz (Verwandte, Freunde) im Ausland besteht. Im Falle der Schweiz führt dies angesichts der restriktiven Zulassungsregelung nicht selten zur Umgehung ausländerrechtlicher Bestimmungen.</w:t>
      </w:r>
    </w:p>
    <w:p>
      <w:r>
        <w:rPr>
          <w:b/>
        </w:rPr>
        <w:t>E. 6.4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7</w:t>
      </w:r>
    </w:p>
    <w:p>
      <w:r>
        <w:t>Bei der Gesuchstellerin handelt es sich um eine junge, ledige alleinerziehende Mutter eines Kindes. Gemäss Angaben der Beschwerdeführerin vom 3. April 2009 leben der Sohn, die Mutter sowie mehrere Geschwister der Gesuchstellerin im Heimatland. Damit hat die Gesuchstellerin zwar familiäre Bindungen vor Ort, die - wie von der Beschwerdeführerin geltend gemacht - durchaus eng sein mögen. Eigentliche Verpflichtungen sind daraus aber nicht abzuleiten und auch sonst nicht ersichtlich, deutet doch auch der geplante Ferienaufenthalt der Gesuchstellerin in der Schweiz von 90 Tagen (vgl. Antrag auf Erteilung eines Schengen Visums vom 17. Februar 2009) und die damit verbundene lange Abwesenheit von ihrer Familie nicht auf familiäre Verpflichtungen hin, welche die Gesuchstellerin ernsthaft von einer Emigration abhalten könnten. Das BFM hat in der angefochtenen Verfügung zu Recht darauf hingewiesen, es komme im asiatischen Raum öfters vor, dass Mütter aus finanziellen Gründen ihre Kinder der Obhut von anderen Familienmitgliedern überlassen würden, um in wirtschaftlich stärkeren Regionen des Landes oder auch im Ausland langfristig zur Arbeit zu gehen und somit ihre Kinder nur noch selten zu sehen bekommen würden. Es liegen auch keine Hinweise auf besondere berufliche oder gesellschaftliche Verpflichtungen der Gesuchstellerin im Heimatland vor. Sie ist nicht erwerbstätig und wird von der Beschwerdeführerin finanziell unterstützt. Gemäss Angaben der Beschwerdeführerin werde sich die Gesuchstellerin nach ihrer Rückkehr ins Heimatland wieder ihrer Mutterrolle und Weiterbildung widmen. Die Gesuchstellerin lebt demnach nicht in wirtschaftlich günstigen Verhältnissen, welche sie verlässlich von einer Emigration abzuhalten vermöchten, vielmehr sind bereits in der Arbeitslosigkeit und finanziellen Abhängigkeit mögliche Motive für eine allfällige Migration zu sehen. Aus den Akten sind auch keine Gründe ersichtlich, welche eine Einreise trotzdem als zwingend erscheinen lassen würden.</w:t>
      </w:r>
    </w:p>
    <w:p>
      <w:r>
        <w:rPr>
          <w:b/>
        </w:rPr>
        <w:t>E. 8</w:t>
      </w:r>
    </w:p>
    <w:p>
      <w:r>
        <w:t>Gestützt auf die vorstehenden Erwägungen durfte die Vorinstanz zu Recht davon ausgehen, die Wiederausreise der Gesuchstellerin sei im Sinne der massgeblichen Bestimmungen nicht gesichert. Diese Einschätzung lässt sich auch mit den Beteuerungen der Beschwerdeführerin und ihrer Bereitschaft zur Unterzeichnung einer Verpflichtungserklärung nicht grundlegend in Frage stellen. Denn bei der Abwägung des Risikos einer nicht fristgerechten Wiederausreise ist naturgemäss nicht so sehr die Haltung des Gastgebers, sondern in erster Linie das mögliche Verhalten des Gastes selbst von Bedeutung. Nur Letzterer ist in der Lage, hinreichend Gewähr für seine Rückkehrbereitschaft zu bieten. Der Gastgeber kann zwar für gewisse finanziellen Risiken im Zusammenhang mit dem Besuchsaufenthalt, mangels rechtlicher und faktischer Durchsetzbarkeit nicht aber für ein bestimmtes Verhalten seines Gastes garantieren (anstelle vieler vgl. Urteile des Bundesverwaltungsgerichts C-204/2008 vom 5. März 2009 E. 8.4 und C-3243/2007 vom 10. Juni 2008 E. 5.5). Die Integrität des Gastgebers - die im Falle der Beschwerdeführerin nicht anzuzweifeln ist - kann daher nicht ausschlaggebend sein.</w:t>
      </w:r>
    </w:p>
    <w:p>
      <w:r>
        <w:rPr>
          <w:b/>
        </w:rPr>
        <w:t>E. 9</w:t>
      </w:r>
    </w:p>
    <w:p>
      <w:r>
        <w:t>Aus den genannten Gründen ist nicht zu beanstanden, dass die Vorinstanz das öffentliche Interesse sowie die Beachtung der geltenden Bestimmungen entsprechend gewichtete und der Gesuchstellerin die Einreise verweigerte. Die angefochtene Verfügung ist somit im Ergebnis rechtmässig (Art. 49 VwVG). Die Beschwerde ist demnach abzuweisen.</w:t>
      </w:r>
    </w:p>
    <w:p>
      <w:r>
        <w:rPr>
          <w:b/>
        </w:rPr>
        <w:t>E. 10</w:t>
      </w:r>
    </w:p>
    <w:p>
      <w:r>
        <w:t>Entsprechend dem Ausgang des Verfahrens sind der Beschwerdeführerin die Kosten des Verfahrens aufzuerlegen (Art. 63 Abs. 1 VwVG). Die Verfahrenskosten sind auf Fr. 600.-- festzusetzen (Art. 1, Art. 2 und Art.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