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C-310/2006 vom 25. Februar 2008</w:t>
      </w:r>
    </w:p>
    <w:p>
      <w:r>
        <w:t>Bundesverwaltungsgericht, 2008-02-25, FR</w:t>
      </w:r>
    </w:p>
    <w:p>
      <w:r>
        <w:rPr>
          <w:b/>
        </w:rPr>
        <w:t xml:space="preserve">Quelle: </w:t>
      </w:r>
      <w:r>
        <w:t>https://mcp.opencaselaw.ch/entscheid/bvger_C-310_2006</w:t>
      </w:r>
    </w:p>
    <w:p>
      <w:r>
        <w:t>FR: TAF C-310/2006 du 25 février 2008</w:t>
      </w:r>
    </w:p>
    <w:p>
      <w:r>
        <w:t>IT: TAF C-310/2006 del 25 febbraio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A._______, qui est directement touchée par la décision entreprise, a qualité pour recourir (cf. art. 20 al. 1 et 2 LSEE et art. 48 PA). Présenté dans la forme et les délais prescrits par la loi, son recours est recevable (cf. art. 50 et art. 52 PA).</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 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(cf. art. 13 let. f OLE).</w:t>
      </w:r>
    </w:p>
    <w:p>
      <w:r>
        <w:rPr>
          <w:b/>
        </w:rPr>
        <w:t>E. 3</w:t>
      </w:r>
    </w:p>
    <w:p>
      <w:r>
        <w:t>A ce propos, il sied de relever que ni l'ODM, ni a fortiori le TAF, ne sont liés par l'appréciation émise par les autorités cantonales de police des étrangers en matière d'exemption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visité le 18.02.2008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w:t>
      </w:r>
    </w:p>
    <w:p>
      <w:r>
        <w:t>Il s'impose de souligner en préambule que le Tribunal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 JAAC 69.6; André Grisel, Traité de droit administratif, Neuchâtel, 1984, tome II, p.933; Fritz Gygi, Verwaltungsrecht, Berne, 1986, p.123 et ss.). En conséquence, l'objet de la procédure de recours est limité au seul examen du bien fondé de la décision de l'ODM du 22 février 2006 en tant que cette autorité a refusé de mettre A._______ au bénéfice d'une exception aux mesures de limitation au sens de l'art. 13 let. f aOLE et les conclusions subsidiaires du recours, tendant à l'octroi d'une admission provisoire à la prénommée, au motif que l'exécution de son renvoi en Ethiopie ne serait pas raisonnablement exigible au sens de l'art. 14a al. 4 aLSEE, sont irrecevables, dès lors que cette question est extrinsèque à l'objet du présent litige.</w:t>
      </w:r>
    </w:p>
    <w:p>
      <w:r>
        <w:rPr>
          <w:b/>
        </w:rPr>
        <w:t>E. 5</w:t>
      </w:r>
    </w:p>
    <w:p>
      <w:r>
        <w:t>L'art. 13 let. f aOLE,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aOLE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2007/16 consid. 5.2 p. 195/196, jurisprudence et doctrine citées). Dans sa jurisprudence constante, le Tribunal fédéral a par ailleurs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p. 113).</w:t>
      </w:r>
    </w:p>
    <w:p>
      <w:r>
        <w:rPr>
          <w:b/>
        </w:rPr>
        <w:t>E. 6</w:t>
      </w:r>
    </w:p>
    <w:p>
      <w:r>
        <w:t>En l'espèce, A._______ fonde sa demande d'exception aux mesures de limitation sur la présence en Suisse de sa soeur et de son frère, ainsi que sur la situation difficile à laquelle elle serait confrontée en cas de retour en Ethiopie, dès lors qu'elle n'y aurait plus d'attaches familiales. Entrée en Suisse le 21 juillet 2004 dans le cadre d'un visa touristique d'une durée de trois mois qui lui a été octroyé pour lui permettre de voir une dernière fois sa mère, finalement décédée le 24 août 2004, la recourante a alors déposé, à l'échéance de son visa, une demande d'autorisation de séjour afin de s'établir à Genève. Il appert dès lors que A._______ ne séjourne en Suisse que depuis trois ans et demi et le dossier ne laisse pas apparaître qu'elle s'y serait créé des attaches particulières sur le plan social et professionnel. Il est à noter ainsi qu'elle n'exerce une activité lucrative dans ce pays que depuis quelques mois. Arrivée en Suisse à l'âge de 29 ans, la recourante a, de fait, passé la plus grande partie de son existence en Ethiopie, soit notamment son enfance, son adolescence et la plus grande partie de sa vie d'adulte, période durant laquelle se forge la personnalité, en fonction notamment de l'environnement socio-culturel (cf. ATF 123 II 125 consid. 5b/aa p. 132). C'est dans ce pays qu'elle a toutes ses racines. Dans ces conditions, le Tribunal ne saurait admettre que son séjour sur territoire helvétique - d'à peine trois ans et demi - ait été suffisamment long pour la rendre étrangère à sa patrie au point de ne plus être en mesure, après une période d'adaptation, d'y retrouver ses repères. Il convient de rappeler à ce propos que, lors de sa première demande d'autorisation de séjour en Suisse déposée en 2002 pour motifs d'études, la recourante déclarait vouloir retourner en Ethiopie pour y enseigner dans une école ou un orphelinat et, se déclarant alors désireuse de retourner dans son pays, s'était engagée par écrit, le 22 juillet 2002, à quitter la Suisse aux termes de ses études ou à l'échéance de son visa. Aussi, bien que la recourante dispose d'attaches familiales étroites en Suisse en la personne de sa soeur et de son frère, on ne saurait pour autant considérer qu'elle ne soit pas en mesure, à l'âge de 33 ans, de se prendre en charge et de s'adapter aux conditions de vie du pays dans lequel elle a passé les 29 premières années de son existence et dans lequel elle a précédemment déclaré, sans réserve, vouloir retourner après son séjour d'études en Suisse. Quant à l'argument tiré de l'absence d'attaches familiales en Ethiopie, il doit être relativisé, puisque la recourante y a déjà précédemment vécu durant près d'une année dans cette situation, à la suite du départ de sa mère pour la Suisse en 2003. Le Tribunal n'ignore pas que la recourante se heurterait à des difficultés en cas de retour dans son pays. Rien ne permet toutefois d'affirmer que ces difficultés seraient plus graves pour elle que pour n'importe lequel de ses concitoyens appelé à quitter la Suisse au terme de son séjour, ou que sa situation serait sans commune mesure avec celle que connaissent ses compatriotes restés sur place. C'est le lieu de rappeler ici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ce qui n'est pas le cas en l'espèce. La reconnaissance d'un cas personnel d'extrême gravité ne tend pas davantage à protéger l'étranger contre les conséquences de la guerre ou des abus des autorités étatiques, des considérations de cet ordre relevant en effet de la procédure d'asile, respectivement de l'examen de l'exigibilité de l'exécution d'un renvoi entré en force (cf. ATF 123 II 125 consid. 3 et 5b/dd et la jurisprudence citée). Cela étant, comme mentionné au considérant 4 du présent arrêt, les conclusions subsidiaires du recours, tendant à l'octroi d'une admission provisoire à la recourante, au motif que l'exécution de son renvoi ne serait pas raisonnablement exigible au sens de l'art. 14a al. LSEE, ne peuvent être examinées en la présente procédure, dès lors que l'objet du litige est limité à la seule application de l'art. 13 let. f aOLE. Il appartiendra dès lors aux autorités qui seront chargées de se prononcer sur la question du renvoi de Suisse de la recourante d'examiner si l'exécution de ce renvoi est possible, licite et raisonnablement exigible.</w:t>
      </w:r>
    </w:p>
    <w:p>
      <w:r>
        <w:rPr>
          <w:b/>
        </w:rPr>
        <w:t>E. 7</w:t>
      </w:r>
    </w:p>
    <w:p>
      <w:r>
        <w:t>S'agissant enfin des arguments liés à la situation médicale de la soeur de la recourante, il convient de souligner que le cas personnel d'extrême gravité au sens de l'art. 13 let. f aOLE doit, pour être pris en considération, être réalisé dans la personne de l'intéressé et non dans celle d'un tiers (arrêt du Tribunal fédéral 2A.76/2007 du 12 juin 2007 consid. 5.1 et jurisprudence citée). Certes, dans des cas tout à fait exceptionnels, le Tribunal fédéral a admis qu'une dérogation à cette règle pourrait être envisagée à partir de critères tirés de l'art. 8 CEDH. Cette disposition ne saurait toutefois être directement invoquée dans la procédure relative à l'assujettissement aux mesures de limitation, puisque la décision qui y est prise ne porte pas sur le droit de séjourner en Suisse; en revanche, les critères découlant de l' art. 8 CEDH peuvent être pris en considération pour examiner si l'on est en présence d'un cas personnel d'extrême gravité au sens de l'art. 13 let. f aOLE, dans la mesure où des motifs d'ordre familial seraient liés à cette situation (arrêts du Tribunal fédéral 2A.627/2006 du 28 novembre 2006 consid. 4.2.1, 2A.474/2001 du 15 février 2002 consid. 4.2). L'un des critères susceptibles d'être pris en compte dans cette perspective pourrait être l'état de dépendance où un membre de la famille du requérant se trouverait à l'égard de ce dernier. Aussi, le Tribunal fédéral a-t-il jugé qu'un cas de rigueur pouvait résulter de circonstances familiales particulières, lorsque l'état de santé d'un très proche parent ("engster Angehöriger") bénéficiant d'un droit de présence en Suisse nécessitait un soutien de longue durée et que ses besoins ne seraient pas convenablement assurés sans la présence en Suisse de l'étranger qui sollicite une exception aux mesures de limitation (cf. arrêt du Tribunal fédéral 2A.136/1998 du 12 août 1998 consid. 3d). En l'occurrence, sans mettre en doute les liens unissant la recourante à sa soeur, il n'a pas été démontré que l'état de santé de D._______ nécessiterait l'assistance permanente de la recourante (ATF 120 Ib 257 consid. 1/d-e p. 260ss, 115 Ib 1 consid. 2b-c p. 4ss; arrêt du Tribunal fédéral 2A.229/2001 du 26 juillet 2001 consid. 1a/bb), ce que confirme d'ailleurs en partie le fait que celle-ci ait entrepris depuis quelques mois l'exercice d'une activité lucrative. Aussi, malgré l'étroitesse de leurs relations, leur situation n'apparaît pas constitutive d'un cas de dépendance au sens requis par la jurisprudence précitée. En conséquence, l'examen de l'ensemble des éléments de la présente cause amène le Tribunal à la conclusion que A._______ ne se trouve pas dans une situation d'extrême gravité au sens de l'art. 13 let. f aOLE et que c'est à bon droit que l'autorité intimée a considéré qu'elle ne satisfaisait pas aux exigences de cette disposition.</w:t>
      </w:r>
    </w:p>
    <w:p>
      <w:r>
        <w:rPr>
          <w:b/>
        </w:rPr>
        <w:t>E. 8</w:t>
      </w:r>
    </w:p>
    <w:p>
      <w:r>
        <w:t>Il ressort de ce qui précède que, par sa décision du 22 février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11 décembre 2006 concernant les frais, dépens et indemnités fixés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